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区经信和科创局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，区经信和科创局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认真贯彻落实《中华人民共和国政府信息公开条例》，坚持以习近平新时代中国特色社会主义思想为指导，围绕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科技工业事业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发展和社会公众关注热点，完善信息公开制度，规范信息发布流程，强化政策规定解读，积极回应社会关切，加大政务公开工作力度，取得良好效果。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做好主动公开工作。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lang w:val="en-US" w:eastAsia="zh-CN"/>
        </w:rPr>
        <w:t>在区政府网站发表公示公告、政策解读等政务信息9篇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做好依申请公开工作。202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做好政府信息管理工作。严格按照《中华人民共和国政府信息公开条例》及相关文件要求，落实信息审批“三审”制度。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2024年在局微信公众号发文57篇。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四是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做好政府信息公开平台建设工作。根据相关要求，并依据单位实际情况及公众需求，优化信息公开栏目设置，确保政务公开信息的直观性与有效性，营造信息公开透明的良好氛围，为公众提供便捷可靠的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五是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做好监督保障工作。严格执行“上网信息不涉密、涉密信息不上网”的纪律，落实“三级审核”工作制度。202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年，未发生因政府信息公开申请行政复议、提起行政诉讼的事项。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4"/>
        <w:gridCol w:w="2154"/>
        <w:gridCol w:w="2155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9"/>
        <w:gridCol w:w="818"/>
        <w:gridCol w:w="2914"/>
        <w:gridCol w:w="608"/>
        <w:gridCol w:w="608"/>
        <w:gridCol w:w="608"/>
        <w:gridCol w:w="608"/>
        <w:gridCol w:w="608"/>
        <w:gridCol w:w="615"/>
        <w:gridCol w:w="6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78"/>
        <w:gridCol w:w="579"/>
        <w:gridCol w:w="579"/>
        <w:gridCol w:w="588"/>
        <w:gridCol w:w="579"/>
        <w:gridCol w:w="579"/>
        <w:gridCol w:w="581"/>
        <w:gridCol w:w="581"/>
        <w:gridCol w:w="586"/>
        <w:gridCol w:w="581"/>
        <w:gridCol w:w="581"/>
        <w:gridCol w:w="581"/>
        <w:gridCol w:w="581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年，我局政府信息公开工作取得了一定成效，但同时也存在思想认识有待提升、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队伍建设有待加强、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形式内容有待拓展等问题。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针对存在的不足，我局进一步健全工作机制、创新工作思路，不断推进政府信息公开工作。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强化管理机制。建立更加完善通畅的信息拟稿、审核、报送、公开流程，提高工作人员思想认识及工作效率。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加强队伍建设。在日常工作中对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从事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政府信息公开工作的工作人员进行公开工作规范性的指导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提高工作人员政策水平和业务能力，增强服务意识和责任意识。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提升信息质量。针对政府信息进行系统深入地梳理，根据单位实际情况细化优化栏目设置，力求文字精准化、类别多样化、内容丰富化。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黄陂区经济信息化和科技创新局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2024年1月8日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YTUwYjc1ZjdlMzM2OGMxNzYwNjkwMWM0ZWEzMTIifQ=="/>
    <w:docVar w:name="KSO_WPS_MARK_KEY" w:val="89995c19-fa74-4600-aaf5-e5d3689426b5"/>
  </w:docVars>
  <w:rsids>
    <w:rsidRoot w:val="00000000"/>
    <w:rsid w:val="16AF36B6"/>
    <w:rsid w:val="2AA36F32"/>
    <w:rsid w:val="2B553598"/>
    <w:rsid w:val="2F8A15E0"/>
    <w:rsid w:val="339F3B03"/>
    <w:rsid w:val="51AE4499"/>
    <w:rsid w:val="53AA7A99"/>
    <w:rsid w:val="5A3A7A1C"/>
    <w:rsid w:val="735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2023-12-28T09:09:00Z</dcterms:created>
  <dc:creator>Administrator</dc:creator>
  <cp:lastModifiedBy>李可飞</cp:lastModifiedBy>
  <cp:lastPrinted>2025-01-08T07:13:01Z</cp:lastPrinted>
  <dcterms:modified xsi:type="dcterms:W3CDTF">2025-01-08T07:13:04Z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BC58850341034600AAE2E1278B858EB6_12</vt:lpwstr>
  </property>
</Properties>
</file>