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700B4"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5057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" w:eastAsia="zh-CN"/>
        </w:rPr>
        <w:t>武汉市生态环境局黄陂区分局2025年度“双随机”抽查计划表</w:t>
      </w:r>
    </w:p>
    <w:tbl>
      <w:tblPr>
        <w:tblStyle w:val="5"/>
        <w:tblW w:w="1401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601"/>
        <w:gridCol w:w="2126"/>
        <w:gridCol w:w="2167"/>
        <w:gridCol w:w="1022"/>
        <w:gridCol w:w="1056"/>
        <w:gridCol w:w="1451"/>
        <w:gridCol w:w="2720"/>
        <w:gridCol w:w="1185"/>
      </w:tblGrid>
      <w:tr w14:paraId="59EFEC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7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计划名称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A3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抽查对象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6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抽查事项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6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检查</w:t>
            </w:r>
          </w:p>
          <w:p w14:paraId="1842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F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实施</w:t>
            </w:r>
          </w:p>
          <w:p w14:paraId="0BFF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层级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实施部门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2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抽查比例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4B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实施</w:t>
            </w:r>
          </w:p>
          <w:p w14:paraId="608BC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时间</w:t>
            </w:r>
          </w:p>
        </w:tc>
      </w:tr>
      <w:tr w14:paraId="091D9C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2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B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污染源日常环境的监管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E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排放污染物的企事业单位和其他生产经营者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7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对污染物排放、污染防治设施运行、排污许可证执行和申领登记、放射性污染防治、非道路移动机械、环境安全风险排查和应急处置等情况的检查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8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51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8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C9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重点源100%；一般源全年按在编在岗人员1:10比例抽取。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9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每季度各抽查1次</w:t>
            </w:r>
          </w:p>
        </w:tc>
      </w:tr>
      <w:tr w14:paraId="15C582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6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7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建设项目“三同时”落实情况监管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9A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投入生产或者使用后的建设项目的所属单位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2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建设项目“三同时”落实情况的检查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FA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76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0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行政审批科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（配合）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0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：以2020年以来辖区内各级生态环境部门审批的建设项目为重点，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抽查比例不低于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不重复抽查。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53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4-11月</w:t>
            </w:r>
          </w:p>
        </w:tc>
      </w:tr>
      <w:tr w14:paraId="5DF31A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BE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F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机动车排放检验机构监管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B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机动车排放检验单位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0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机动车排放检验机构排放检验情况的检查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6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63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5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73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要求：按照全市联合“双随机”检查文件比例执行（对接区市场监督管理局、区交通运输局、区公安局）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7C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533333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D6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A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重型柴油车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9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用车大户企业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7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查验车辆排放阶段，对车用尿素使用、污染控制装置和OBD诊断系统、仪表盘排气报警灯和OBD报警灯点亮等情况的检查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7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73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8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事务站、监测站（配合）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要求：按照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80%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的比例进行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51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1-11月</w:t>
            </w:r>
          </w:p>
        </w:tc>
      </w:tr>
      <w:tr w14:paraId="0DC9F3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C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VOCs治理设施监管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0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未纳入限制类、淘汰类技术治理设施的单位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对单一低效VOCs治理设施的企业污染物排放、设施运行情况的检查；工业涂装企业未使用低挥发性有机物含量涂料或者未建立、保存台账的检查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6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02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5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执法大队、大气办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E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要求：按照5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的比例进行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C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4-6月</w:t>
            </w:r>
          </w:p>
        </w:tc>
      </w:tr>
      <w:tr w14:paraId="183A3E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1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3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涉消耗臭氧层物质（ODS）的企业和单位的监管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9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涉消耗臭氧层物质（ODS）生产、使用、销售、维修、回收、销毁及原料用途等企业和单位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74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消耗臭氧层物质含氢氟氯烃（HCFCs）年度生产配额、使用配额（100吨及以上）和使用备案（100吨以下）情况；销售ODS企业和单位备案情况；含ODS的制冷设备、制冷系统或者灭火系统的维修、报废处理，ODS回收、再生利用或者销毁等经营活动的单位备案情况；副产四氯化碳（CTC）的甲烷氯化物企业合法销售和处置CTC情况；使用ODS作为化工原料用途的企业的ODS采购和使用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F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5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7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执法大队、大气办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1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根据实际，自行设置抽查比例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（依据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辖区实际情况，按照10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的比例进行检查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65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3431F1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CB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汽车维修企业监管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AF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汽车维修单位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6B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对喷涂污染防治设施运维情况和露天喷涂行为的检查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9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F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执法大队、大气办，事务站（配合）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7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国控点周边汽修单位100%；其它汽修单位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各区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自行设置抽查比例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（依据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辖区实际情况，按照每年5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的比例进行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抽查。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9A7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147B67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9B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8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重点涉气企业监管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9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涉及废气旁路的涉气企业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D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对重点涉气企业取消烟气和含VOCs废气旁路情况，因安全生产需要无法取消的，安装在线监控系统、铅封及备用处置设施情况的检查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33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5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75A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执法大队、大气办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54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按照10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的比例进行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09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7-9月</w:t>
            </w:r>
          </w:p>
        </w:tc>
      </w:tr>
      <w:tr w14:paraId="23D4E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D2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CC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成品油储运销领域油气回收监管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F1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涉气企业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27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对储油储气库、加油加气站和油罐车、气罐车等安装并正常使用油气回收装置的检查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B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B7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1C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执法大队、大气办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6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重点监管单位80%，一般监管单位50%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进行抽查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16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1-11月</w:t>
            </w:r>
          </w:p>
        </w:tc>
      </w:tr>
      <w:tr w14:paraId="1E66D2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8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4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市政工程监管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35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城镇污水处理厂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73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城镇污水处理设施污染防治情况的检查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B7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0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9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2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每年30%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进行抽查。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8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3D8E25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A3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5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排污权交易试点工作监管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40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需要进行主要污染物排污权交易的建设项目单位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1B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对排污权交易试点工作的监管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0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现场检查、书面检查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F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监督管理科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B7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要求：依据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市局提供检查对象名单，按每年20%进行抽查。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44B9FD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D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D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辐射安全监管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E0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核技术利用单位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F7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核技术利用单位辐射安全的检查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EA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9A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事务站（配合）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C2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要求：辖区内核技术利用单位每年50%（含Ⅱ类射线装置的核技术利用单位50%。）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C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0A58D5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2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7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医疗卫生机构和医疗废物集中处置单位监管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8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从事医疗废物收集、运送、贮存、处置的医疗卫生机构和医疗废物集中处置单位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36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医疗卫生机构和医疗废物集中处置单位污染防治情况的检查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EA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87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事务站（配合）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1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各区根据实际，自行设置抽查比例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进行检查。）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BC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3AD95F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690" w:type="dxa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56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B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企业环境隐患排查监管</w:t>
            </w:r>
          </w:p>
        </w:tc>
        <w:tc>
          <w:tcPr>
            <w:tcW w:w="2126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全市涉“一废一库一品一重”企业</w:t>
            </w:r>
          </w:p>
        </w:tc>
        <w:tc>
          <w:tcPr>
            <w:tcW w:w="216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对规范化环境管理工作情况、污染防治设施运行情况、环境风险防范、环境安全隐患排查治理和应急处置工作情况的检查</w:t>
            </w:r>
          </w:p>
        </w:tc>
        <w:tc>
          <w:tcPr>
            <w:tcW w:w="102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6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056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6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145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8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事务站（配合）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55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区级100%进行检查。</w:t>
            </w:r>
          </w:p>
        </w:tc>
        <w:tc>
          <w:tcPr>
            <w:tcW w:w="1185" w:type="dxa"/>
            <w:tcBorders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5C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4-11月</w:t>
            </w:r>
          </w:p>
        </w:tc>
      </w:tr>
      <w:tr w14:paraId="71915F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24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4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畜禽养殖的监管</w:t>
            </w:r>
          </w:p>
        </w:tc>
        <w:tc>
          <w:tcPr>
            <w:tcW w:w="212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D7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  <w:p w14:paraId="66268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规模以上畜禽养殖场</w:t>
            </w:r>
          </w:p>
          <w:p w14:paraId="28114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16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养殖场污染防治设施运行情况和环保法律法规执行情况的检查</w:t>
            </w:r>
          </w:p>
          <w:p w14:paraId="6FC55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69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  <w:p w14:paraId="2087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1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  <w:p w14:paraId="0F118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451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22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D9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春季攻坚断面流域周边畜禽养殖企业100%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E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1-3月</w:t>
            </w:r>
          </w:p>
        </w:tc>
      </w:tr>
      <w:tr w14:paraId="386843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5B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6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4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0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16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0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2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5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05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451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21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F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其余畜禽养殖企业各区自行设置抽查比例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按照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50%进行抽查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7A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4-11月</w:t>
            </w:r>
          </w:p>
        </w:tc>
      </w:tr>
      <w:tr w14:paraId="56C830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3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4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断面流域水环境质量改善的监管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80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重点断面流域周边涉水企业及污水处理设施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9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对涉水企业、污水处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的防腐层处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理设施等污染物排放和污染防治情况的检查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2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监督管理科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B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春季攻坚断面流域周边涉水企业及污水处理设施100%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比例进行检查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77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1-3月</w:t>
            </w:r>
          </w:p>
        </w:tc>
      </w:tr>
      <w:tr w14:paraId="6B742D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5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8D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农村生活污水处理设施监管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0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20吨以上农村生活污水处理设施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4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对农村生活污水处理设施运行维护管理情况进行检查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9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A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区级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E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执法大队、生态科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5F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日处理能力≥100吨100%；100吨≥日处理能力≥20吨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20%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比例抽查。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6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4-11月</w:t>
            </w:r>
          </w:p>
        </w:tc>
      </w:tr>
      <w:tr w14:paraId="37ED78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8D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工业园区工业企业水污染防治监管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0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省级及以上工业园区涉水工业企业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A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工业企业生产废水处理等情况的检查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D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7B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执法大队、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监督管理科</w:t>
            </w:r>
          </w:p>
        </w:tc>
        <w:tc>
          <w:tcPr>
            <w:tcW w:w="272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91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要求：区级按照每年10%的比例抽查。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12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4-12月</w:t>
            </w:r>
          </w:p>
        </w:tc>
      </w:tr>
      <w:tr w14:paraId="4E6AF7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E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3328" w:type="dxa"/>
            <w:gridSpan w:val="8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E1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按设定比例抽查检查对象的数量以平台实际抽取数量为准。</w:t>
            </w:r>
          </w:p>
        </w:tc>
      </w:tr>
    </w:tbl>
    <w:p w14:paraId="79E87B91">
      <w:pPr>
        <w:ind w:left="0" w:leftChars="0" w:firstLine="0" w:firstLineChars="0"/>
        <w:rPr>
          <w:rFonts w:hint="eastAsia" w:ascii="Arial Unicode MS" w:hAnsi="Arial Unicode MS" w:eastAsia="Arial Unicode MS" w:cs="Arial Unicode MS"/>
          <w:b/>
          <w:bCs/>
          <w:color w:val="auto"/>
          <w:sz w:val="32"/>
          <w:szCs w:val="32"/>
          <w:lang w:val="en"/>
        </w:rPr>
      </w:pPr>
    </w:p>
    <w:p w14:paraId="06D3D063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72C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246C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246C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607AF"/>
    <w:rsid w:val="530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80" w:firstLineChars="100"/>
    </w:pPr>
    <w:rPr>
      <w:color w:val="auto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cs="黑体"/>
      <w:kern w:val="2"/>
      <w:sz w:val="21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2510</Words>
  <Characters>2704</Characters>
  <Lines>0</Lines>
  <Paragraphs>0</Paragraphs>
  <TotalTime>1</TotalTime>
  <ScaleCrop>false</ScaleCrop>
  <LinksUpToDate>false</LinksUpToDate>
  <CharactersWithSpaces>2705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2025-06-12T07:39:00Z</dcterms:created>
  <dc:creator>Administrator</dc:creator>
  <cp:lastModifiedBy>WPS_1615553017</cp:lastModifiedBy>
  <dcterms:modified xsi:type="dcterms:W3CDTF">2025-06-13T02:23:58Z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eyJoZGlkIjoiMDNmZjVhOTQ5MDkwNWMwM2RlZWQ5MmMwODFkMmM2ZDMiLCJ1c2VySWQiOiIxMTc4ODM0MTI1In0=</vt:lpwstr>
  </property>
  <property fmtid="{D5CDD505-2E9C-101B-9397-08002B2CF9AE}" pid="4" name="ICV">
    <vt:lpwstr>E2F65ACC97AB4C4B845BB089197BB63F_12</vt:lpwstr>
  </property>
</Properties>
</file>