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2A" w:rsidRPr="0059712A" w:rsidRDefault="0059712A" w:rsidP="0059712A">
      <w:pPr>
        <w:widowControl/>
        <w:spacing w:after="234"/>
        <w:jc w:val="center"/>
        <w:outlineLvl w:val="0"/>
        <w:rPr>
          <w:rFonts w:ascii="宋体" w:eastAsia="宋体" w:hAnsi="宋体" w:cs="宋体"/>
          <w:b/>
          <w:kern w:val="36"/>
          <w:sz w:val="44"/>
          <w:szCs w:val="44"/>
        </w:rPr>
      </w:pPr>
      <w:r w:rsidRPr="0059712A">
        <w:rPr>
          <w:rFonts w:ascii="宋体" w:eastAsia="宋体" w:hAnsi="宋体" w:cs="宋体"/>
          <w:b/>
          <w:kern w:val="36"/>
          <w:sz w:val="44"/>
          <w:szCs w:val="44"/>
        </w:rPr>
        <w:t>下月起禁用“生鲜灯”，最高罚3万元！</w:t>
      </w:r>
    </w:p>
    <w:p w:rsidR="0059712A" w:rsidRPr="0059712A" w:rsidRDefault="0059712A" w:rsidP="0059712A">
      <w:pPr>
        <w:widowControl/>
        <w:rPr>
          <w:rFonts w:ascii="宋体" w:eastAsia="宋体" w:hAnsi="宋体" w:cs="宋体"/>
          <w:kern w:val="0"/>
          <w:sz w:val="24"/>
          <w:szCs w:val="24"/>
        </w:rPr>
      </w:pPr>
    </w:p>
    <w:p w:rsidR="0059712A" w:rsidRPr="0059712A" w:rsidRDefault="0059712A" w:rsidP="0059712A">
      <w:pPr>
        <w:widowControl/>
        <w:rPr>
          <w:rFonts w:ascii="宋体" w:eastAsia="宋体" w:hAnsi="宋体" w:cs="宋体"/>
          <w:kern w:val="0"/>
          <w:sz w:val="24"/>
          <w:szCs w:val="24"/>
        </w:rPr>
      </w:pPr>
    </w:p>
    <w:p w:rsidR="0059712A" w:rsidRPr="0059712A" w:rsidRDefault="0059712A" w:rsidP="0059712A">
      <w:pPr>
        <w:widowControl/>
        <w:spacing w:line="480" w:lineRule="atLeast"/>
        <w:ind w:left="167" w:right="167" w:firstLineChars="250" w:firstLine="803"/>
        <w:rPr>
          <w:rFonts w:ascii="仿宋" w:eastAsia="仿宋" w:hAnsi="仿宋" w:cs="宋体"/>
          <w:kern w:val="0"/>
          <w:sz w:val="32"/>
          <w:szCs w:val="32"/>
        </w:rPr>
      </w:pPr>
      <w:r>
        <w:rPr>
          <w:rFonts w:ascii="仿宋" w:eastAsia="仿宋" w:hAnsi="仿宋" w:cs="宋体"/>
          <w:b/>
          <w:bCs/>
          <w:noProof/>
          <w:color w:val="1960CC"/>
          <w:spacing w:val="17"/>
          <w:kern w:val="0"/>
          <w:sz w:val="32"/>
          <w:szCs w:val="32"/>
        </w:rPr>
        <w:drawing>
          <wp:anchor distT="0" distB="0" distL="114300" distR="114300" simplePos="0" relativeHeight="251658240" behindDoc="0" locked="0" layoutInCell="1" allowOverlap="1">
            <wp:simplePos x="0" y="0"/>
            <wp:positionH relativeFrom="column">
              <wp:posOffset>-92710</wp:posOffset>
            </wp:positionH>
            <wp:positionV relativeFrom="paragraph">
              <wp:posOffset>4449445</wp:posOffset>
            </wp:positionV>
            <wp:extent cx="5754370" cy="4220210"/>
            <wp:effectExtent l="19050" t="0" r="0" b="0"/>
            <wp:wrapSquare wrapText="bothSides"/>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4" cstate="print"/>
                    <a:srcRect/>
                    <a:stretch>
                      <a:fillRect/>
                    </a:stretch>
                  </pic:blipFill>
                  <pic:spPr bwMode="auto">
                    <a:xfrm>
                      <a:off x="0" y="0"/>
                      <a:ext cx="5754370" cy="4220210"/>
                    </a:xfrm>
                    <a:prstGeom prst="rect">
                      <a:avLst/>
                    </a:prstGeom>
                    <a:noFill/>
                    <a:ln w="9525">
                      <a:noFill/>
                      <a:miter lim="800000"/>
                      <a:headEnd/>
                      <a:tailEnd/>
                    </a:ln>
                  </pic:spPr>
                </pic:pic>
              </a:graphicData>
            </a:graphic>
          </wp:anchor>
        </w:drawing>
      </w:r>
      <w:r w:rsidRPr="0059712A">
        <w:rPr>
          <w:rFonts w:ascii="仿宋" w:eastAsia="仿宋" w:hAnsi="仿宋" w:cs="宋体"/>
          <w:b/>
          <w:bCs/>
          <w:color w:val="1960CC"/>
          <w:spacing w:val="17"/>
          <w:kern w:val="0"/>
          <w:sz w:val="32"/>
          <w:szCs w:val="32"/>
        </w:rPr>
        <w:t>国家市场监管总局新修订的《食用农产品市场销售质量安全监督管理办法》（以下简称《办法》）将于12月1日起施行，</w:t>
      </w:r>
      <w:r w:rsidRPr="0059712A">
        <w:rPr>
          <w:rFonts w:ascii="仿宋" w:eastAsia="仿宋" w:hAnsi="仿宋" w:cs="宋体"/>
          <w:color w:val="000000"/>
          <w:spacing w:val="17"/>
          <w:kern w:val="0"/>
          <w:sz w:val="32"/>
          <w:szCs w:val="32"/>
        </w:rPr>
        <w:t>届时生鲜食用农产品市场将全面禁止使用“生鲜灯”。目前，省市场监管局已印发《关于开展“生鲜灯”排查治理工作的通知》并组织全省系统聚焦从事蔬菜类、水果类、肉类、禽蛋类、水产品类等生鲜食用农产品销售的经营主体，重点突出批发市场、农贸市场、大型商超等业态，开展“生鲜灯”大排查行动，积极引导食品经营者规范使用照明灯具，劝导经营者对不符合规定的照明设施进行改造，还原生鲜食用农产品的自然本色。</w:t>
      </w:r>
    </w:p>
    <w:p w:rsidR="0059712A" w:rsidRPr="0059712A" w:rsidRDefault="0059712A" w:rsidP="0059712A">
      <w:pPr>
        <w:widowControl/>
        <w:spacing w:line="480" w:lineRule="atLeast"/>
        <w:ind w:firstLineChars="250" w:firstLine="885"/>
        <w:rPr>
          <w:rFonts w:ascii="仿宋" w:eastAsia="仿宋" w:hAnsi="仿宋" w:cs="宋体"/>
          <w:kern w:val="0"/>
          <w:sz w:val="32"/>
          <w:szCs w:val="32"/>
        </w:rPr>
      </w:pPr>
      <w:r w:rsidRPr="0059712A">
        <w:rPr>
          <w:rFonts w:ascii="仿宋" w:eastAsia="仿宋" w:hAnsi="仿宋" w:cs="宋体"/>
          <w:color w:val="000000"/>
          <w:spacing w:val="17"/>
          <w:kern w:val="0"/>
          <w:sz w:val="32"/>
          <w:szCs w:val="32"/>
        </w:rPr>
        <w:lastRenderedPageBreak/>
        <w:t>在《办法》施行前</w:t>
      </w:r>
      <w:r w:rsidRPr="0059712A">
        <w:rPr>
          <w:rFonts w:ascii="仿宋" w:eastAsia="仿宋" w:hAnsi="仿宋" w:cs="宋体" w:hint="eastAsia"/>
          <w:color w:val="000000"/>
          <w:spacing w:val="17"/>
          <w:kern w:val="0"/>
          <w:sz w:val="32"/>
          <w:szCs w:val="32"/>
        </w:rPr>
        <w:t>，</w:t>
      </w:r>
      <w:r w:rsidRPr="0059712A">
        <w:rPr>
          <w:rFonts w:ascii="仿宋" w:eastAsia="仿宋" w:hAnsi="仿宋" w:cs="宋体"/>
          <w:color w:val="000000"/>
          <w:spacing w:val="17"/>
          <w:kern w:val="0"/>
          <w:sz w:val="32"/>
          <w:szCs w:val="32"/>
        </w:rPr>
        <w:t>省市场监管局提醒集中市场开办者和各食用农产品市场销售者</w:t>
      </w:r>
    </w:p>
    <w:p w:rsidR="0059712A" w:rsidRPr="0059712A" w:rsidRDefault="0059712A" w:rsidP="0059712A">
      <w:pPr>
        <w:widowControl/>
        <w:spacing w:line="480" w:lineRule="atLeast"/>
        <w:ind w:firstLineChars="250" w:firstLine="885"/>
        <w:rPr>
          <w:rFonts w:ascii="仿宋" w:eastAsia="仿宋" w:hAnsi="仿宋" w:cs="宋体"/>
          <w:kern w:val="0"/>
          <w:sz w:val="32"/>
          <w:szCs w:val="32"/>
        </w:rPr>
      </w:pPr>
      <w:r w:rsidRPr="0059712A">
        <w:rPr>
          <w:rFonts w:ascii="仿宋" w:eastAsia="仿宋" w:hAnsi="仿宋" w:cs="宋体"/>
          <w:color w:val="000000"/>
          <w:spacing w:val="17"/>
          <w:kern w:val="0"/>
          <w:sz w:val="32"/>
          <w:szCs w:val="32"/>
        </w:rPr>
        <w:t>一、集中交易市场开办者、大型商超经营者等要统一督促场内生鲜食用农产品销售者及时更换不符合规定的灯具；所有在商场、超市、便利店等固定场所销售畜禽肉类、果蔬类、海鲜类生鲜食用农产品的销售者要对在用的照明灯具进行自查，对生鲜食用农产品的真实色泽等感官性状造成明显改变的照明设施，一律停用并更换灯具。</w:t>
      </w:r>
    </w:p>
    <w:p w:rsidR="0059712A" w:rsidRPr="0059712A" w:rsidRDefault="0059712A" w:rsidP="0059712A">
      <w:pPr>
        <w:widowControl/>
        <w:spacing w:line="480" w:lineRule="atLeast"/>
        <w:ind w:firstLineChars="200" w:firstLine="708"/>
        <w:rPr>
          <w:rFonts w:ascii="仿宋" w:eastAsia="仿宋" w:hAnsi="仿宋" w:cs="宋体"/>
          <w:kern w:val="0"/>
          <w:sz w:val="32"/>
          <w:szCs w:val="32"/>
        </w:rPr>
      </w:pPr>
      <w:r w:rsidRPr="0059712A">
        <w:rPr>
          <w:rFonts w:ascii="仿宋" w:eastAsia="仿宋" w:hAnsi="仿宋" w:cs="宋体"/>
          <w:color w:val="000000"/>
          <w:spacing w:val="17"/>
          <w:kern w:val="0"/>
          <w:sz w:val="32"/>
          <w:szCs w:val="32"/>
        </w:rPr>
        <w:t>二、《办法》施行后，生鲜食用农产品销售者仍使用不符合规定的照明灯具的，将由县级以上市场监督管理部门责令改正，给予警告；</w:t>
      </w:r>
      <w:r w:rsidRPr="0059712A">
        <w:rPr>
          <w:rFonts w:ascii="仿宋" w:eastAsia="仿宋" w:hAnsi="仿宋" w:cs="宋体"/>
          <w:b/>
          <w:bCs/>
          <w:color w:val="C10000"/>
          <w:spacing w:val="17"/>
          <w:kern w:val="0"/>
          <w:sz w:val="32"/>
          <w:szCs w:val="32"/>
        </w:rPr>
        <w:t>拒不改正的，处五千元以上三万元以下罚款。</w:t>
      </w:r>
    </w:p>
    <w:p w:rsidR="0059712A" w:rsidRDefault="0059712A" w:rsidP="0059712A">
      <w:pPr>
        <w:widowControl/>
        <w:spacing w:line="480" w:lineRule="atLeast"/>
        <w:ind w:firstLineChars="200" w:firstLine="708"/>
        <w:rPr>
          <w:rFonts w:ascii="仿宋" w:eastAsia="仿宋" w:hAnsi="仿宋" w:cs="宋体" w:hint="eastAsia"/>
          <w:b/>
          <w:bCs/>
          <w:kern w:val="0"/>
          <w:sz w:val="32"/>
          <w:szCs w:val="32"/>
        </w:rPr>
      </w:pPr>
      <w:r w:rsidRPr="0059712A">
        <w:rPr>
          <w:rFonts w:ascii="仿宋" w:eastAsia="仿宋" w:hAnsi="仿宋" w:cs="宋体"/>
          <w:color w:val="000000"/>
          <w:spacing w:val="17"/>
          <w:kern w:val="0"/>
          <w:sz w:val="32"/>
          <w:szCs w:val="32"/>
        </w:rPr>
        <w:t>三、消费者如在《办法》施行后发现相关违法违规行为的，可通过拨打12315进行投诉举报，维护自身合法权益。</w:t>
      </w:r>
      <w:r w:rsidRPr="0059712A">
        <w:rPr>
          <w:rFonts w:ascii="仿宋" w:eastAsia="仿宋" w:hAnsi="仿宋" w:cs="宋体"/>
          <w:kern w:val="0"/>
          <w:sz w:val="32"/>
          <w:szCs w:val="32"/>
        </w:rPr>
        <w:br/>
      </w:r>
      <w:r>
        <w:rPr>
          <w:rFonts w:ascii="仿宋" w:eastAsia="仿宋" w:hAnsi="仿宋" w:cs="宋体" w:hint="eastAsia"/>
          <w:b/>
          <w:bCs/>
          <w:kern w:val="0"/>
          <w:sz w:val="32"/>
          <w:szCs w:val="32"/>
        </w:rPr>
        <w:t xml:space="preserve">    </w:t>
      </w:r>
    </w:p>
    <w:p w:rsidR="0059712A" w:rsidRDefault="0059712A" w:rsidP="0059712A">
      <w:pPr>
        <w:widowControl/>
        <w:spacing w:line="480" w:lineRule="atLeast"/>
        <w:ind w:firstLineChars="200" w:firstLine="643"/>
        <w:rPr>
          <w:rFonts w:ascii="仿宋" w:eastAsia="仿宋" w:hAnsi="仿宋" w:cs="宋体" w:hint="eastAsia"/>
          <w:b/>
          <w:bCs/>
          <w:kern w:val="0"/>
          <w:sz w:val="32"/>
          <w:szCs w:val="32"/>
        </w:rPr>
      </w:pPr>
    </w:p>
    <w:p w:rsidR="0059712A" w:rsidRDefault="0059712A" w:rsidP="0059712A">
      <w:pPr>
        <w:widowControl/>
        <w:spacing w:line="480" w:lineRule="atLeast"/>
        <w:ind w:firstLineChars="200" w:firstLine="643"/>
        <w:rPr>
          <w:rFonts w:ascii="仿宋" w:eastAsia="仿宋" w:hAnsi="仿宋" w:cs="宋体" w:hint="eastAsia"/>
          <w:b/>
          <w:bCs/>
          <w:kern w:val="0"/>
          <w:sz w:val="32"/>
          <w:szCs w:val="32"/>
        </w:rPr>
      </w:pPr>
    </w:p>
    <w:p w:rsidR="0059712A" w:rsidRDefault="0059712A" w:rsidP="0059712A">
      <w:pPr>
        <w:widowControl/>
        <w:spacing w:line="480" w:lineRule="atLeast"/>
        <w:ind w:firstLineChars="200" w:firstLine="643"/>
        <w:rPr>
          <w:rFonts w:ascii="仿宋" w:eastAsia="仿宋" w:hAnsi="仿宋" w:cs="宋体" w:hint="eastAsia"/>
          <w:b/>
          <w:bCs/>
          <w:kern w:val="0"/>
          <w:sz w:val="32"/>
          <w:szCs w:val="32"/>
        </w:rPr>
      </w:pPr>
    </w:p>
    <w:p w:rsidR="0059712A" w:rsidRDefault="0059712A" w:rsidP="0059712A">
      <w:pPr>
        <w:widowControl/>
        <w:spacing w:line="480" w:lineRule="atLeast"/>
        <w:ind w:firstLineChars="200" w:firstLine="643"/>
        <w:rPr>
          <w:rFonts w:ascii="仿宋" w:eastAsia="仿宋" w:hAnsi="仿宋" w:cs="宋体" w:hint="eastAsia"/>
          <w:b/>
          <w:bCs/>
          <w:kern w:val="0"/>
          <w:sz w:val="32"/>
          <w:szCs w:val="32"/>
        </w:rPr>
      </w:pPr>
    </w:p>
    <w:p w:rsidR="0059712A" w:rsidRDefault="0059712A" w:rsidP="0059712A">
      <w:pPr>
        <w:widowControl/>
        <w:spacing w:line="480" w:lineRule="atLeast"/>
        <w:ind w:firstLineChars="200" w:firstLine="883"/>
        <w:jc w:val="center"/>
        <w:rPr>
          <w:rFonts w:asciiTheme="majorEastAsia" w:eastAsiaTheme="majorEastAsia" w:hAnsiTheme="majorEastAsia" w:cs="宋体" w:hint="eastAsia"/>
          <w:b/>
          <w:bCs/>
          <w:kern w:val="0"/>
          <w:sz w:val="44"/>
          <w:szCs w:val="44"/>
        </w:rPr>
      </w:pPr>
      <w:r w:rsidRPr="0059712A">
        <w:rPr>
          <w:rFonts w:asciiTheme="majorEastAsia" w:eastAsiaTheme="majorEastAsia" w:hAnsiTheme="majorEastAsia" w:cs="宋体"/>
          <w:b/>
          <w:bCs/>
          <w:kern w:val="0"/>
          <w:sz w:val="44"/>
          <w:szCs w:val="44"/>
        </w:rPr>
        <w:lastRenderedPageBreak/>
        <w:t>省市场监管局办公室关于开展“生鲜灯”排查治理工作的通知</w:t>
      </w:r>
    </w:p>
    <w:p w:rsidR="0059712A" w:rsidRPr="0059712A" w:rsidRDefault="0059712A" w:rsidP="0059712A">
      <w:pPr>
        <w:widowControl/>
        <w:spacing w:line="480" w:lineRule="atLeast"/>
        <w:ind w:firstLineChars="200" w:firstLine="880"/>
        <w:jc w:val="center"/>
        <w:rPr>
          <w:rFonts w:asciiTheme="majorEastAsia" w:eastAsiaTheme="majorEastAsia" w:hAnsiTheme="majorEastAsia" w:cs="宋体"/>
          <w:kern w:val="0"/>
          <w:sz w:val="44"/>
          <w:szCs w:val="44"/>
        </w:rPr>
      </w:pPr>
    </w:p>
    <w:p w:rsidR="0059712A" w:rsidRPr="0059712A" w:rsidRDefault="0059712A" w:rsidP="0059712A">
      <w:pPr>
        <w:widowControl/>
        <w:spacing w:line="480" w:lineRule="atLeast"/>
        <w:ind w:left="84" w:right="84"/>
        <w:rPr>
          <w:rFonts w:ascii="仿宋" w:eastAsia="仿宋" w:hAnsi="仿宋" w:cs="宋体"/>
          <w:kern w:val="0"/>
          <w:sz w:val="32"/>
          <w:szCs w:val="32"/>
        </w:rPr>
      </w:pPr>
      <w:r w:rsidRPr="0059712A">
        <w:rPr>
          <w:rFonts w:ascii="仿宋" w:eastAsia="仿宋" w:hAnsi="仿宋" w:cs="宋体"/>
          <w:color w:val="000000"/>
          <w:spacing w:val="17"/>
          <w:kern w:val="0"/>
          <w:sz w:val="32"/>
          <w:szCs w:val="32"/>
        </w:rPr>
        <w:t>各市、州、直管市、神农架林区市场监管局：</w:t>
      </w:r>
    </w:p>
    <w:p w:rsidR="0059712A" w:rsidRPr="0059712A" w:rsidRDefault="0059712A" w:rsidP="0059712A">
      <w:pPr>
        <w:widowControl/>
        <w:spacing w:line="480" w:lineRule="atLeast"/>
        <w:ind w:left="84" w:right="84" w:firstLineChars="200" w:firstLine="708"/>
        <w:rPr>
          <w:rFonts w:ascii="仿宋" w:eastAsia="仿宋" w:hAnsi="仿宋" w:cs="宋体"/>
          <w:kern w:val="0"/>
          <w:sz w:val="32"/>
          <w:szCs w:val="32"/>
        </w:rPr>
      </w:pPr>
      <w:r w:rsidRPr="0059712A">
        <w:rPr>
          <w:rFonts w:ascii="仿宋" w:eastAsia="仿宋" w:hAnsi="仿宋" w:cs="宋体"/>
          <w:color w:val="000000"/>
          <w:spacing w:val="17"/>
          <w:kern w:val="0"/>
          <w:sz w:val="32"/>
          <w:szCs w:val="32"/>
        </w:rPr>
        <w:t>新修订的《食用农产品市场销售质量安全监督管理办法》（以下简称《办法》）将于今年12月1日起正式施行。《办法》明确提出，销售生鲜食用农产品，不得使用对食用农产品的真实色泽等感官性状造成明显改变的照明等设施误导消费者对商品的感官认知。为做好《办法》生效的前期衔接与后期落实，摸排全省食用农产品市场销售存在的“生鲜灯”问题，规范食用农产品市场销售行为，进一步保障消费者的权益和食品安全，现就开展“生鲜灯”排查治理工作有关要求通知如下：</w:t>
      </w:r>
    </w:p>
    <w:p w:rsidR="0059712A" w:rsidRPr="0059712A" w:rsidRDefault="0059712A" w:rsidP="0059712A">
      <w:pPr>
        <w:widowControl/>
        <w:spacing w:line="480" w:lineRule="atLeast"/>
        <w:ind w:left="84" w:right="84" w:firstLineChars="200" w:firstLine="708"/>
        <w:rPr>
          <w:rFonts w:ascii="仿宋" w:eastAsia="仿宋" w:hAnsi="仿宋" w:cs="宋体"/>
          <w:kern w:val="0"/>
          <w:sz w:val="32"/>
          <w:szCs w:val="32"/>
        </w:rPr>
      </w:pPr>
      <w:r w:rsidRPr="0059712A">
        <w:rPr>
          <w:rFonts w:ascii="仿宋" w:eastAsia="仿宋" w:hAnsi="仿宋" w:cs="宋体"/>
          <w:color w:val="000000"/>
          <w:spacing w:val="17"/>
          <w:kern w:val="0"/>
          <w:sz w:val="32"/>
          <w:szCs w:val="32"/>
        </w:rPr>
        <w:t>一、积极宣传引导。针对消费者比较关注的“生鲜灯”光源改变生鲜食用农产品的原本色泽，影响消费者感官判断等问题，各地要积极开展《办法》宣贯，通过组织培训、发放宣传资料、网络宣传等方式，引导辖区农贸市场、农批市场、超市等市场开办方和食用农产品经营者认识到“生鲜灯”的危害性和违法性，不断提高食品安全意识，自觉落实食品安全主体责任。</w:t>
      </w:r>
    </w:p>
    <w:p w:rsidR="0059712A" w:rsidRPr="0059712A" w:rsidRDefault="0059712A" w:rsidP="0059712A">
      <w:pPr>
        <w:widowControl/>
        <w:spacing w:line="480" w:lineRule="atLeast"/>
        <w:ind w:left="84" w:right="84" w:firstLineChars="200" w:firstLine="708"/>
        <w:rPr>
          <w:rFonts w:ascii="仿宋" w:eastAsia="仿宋" w:hAnsi="仿宋" w:cs="宋体"/>
          <w:kern w:val="0"/>
          <w:sz w:val="32"/>
          <w:szCs w:val="32"/>
        </w:rPr>
      </w:pPr>
      <w:r w:rsidRPr="0059712A">
        <w:rPr>
          <w:rFonts w:ascii="仿宋" w:eastAsia="仿宋" w:hAnsi="仿宋" w:cs="宋体"/>
          <w:color w:val="000000"/>
          <w:spacing w:val="17"/>
          <w:kern w:val="0"/>
          <w:sz w:val="32"/>
          <w:szCs w:val="32"/>
        </w:rPr>
        <w:lastRenderedPageBreak/>
        <w:t>二、开展重点排查。聚焦从事蔬菜类、水果类、肉类、禽蛋类、水产品类等生鲜食用农产品销售的经营主体，重点突出批发市场、农贸市场、大型商超等业态，全面开展排查工作，积极引导食品经营者开展自查自纠，规范使用照明灯具，劝导对不符合规定的照明设施进行改造，主动抓好整改，还原生鲜食用农产品的自然本色。</w:t>
      </w:r>
    </w:p>
    <w:p w:rsidR="0059712A" w:rsidRPr="0059712A" w:rsidRDefault="0059712A" w:rsidP="0059712A">
      <w:pPr>
        <w:widowControl/>
        <w:spacing w:line="480" w:lineRule="atLeast"/>
        <w:ind w:left="84" w:right="84" w:firstLineChars="200" w:firstLine="708"/>
        <w:rPr>
          <w:rFonts w:ascii="仿宋" w:eastAsia="仿宋" w:hAnsi="仿宋" w:cs="宋体"/>
          <w:kern w:val="0"/>
          <w:sz w:val="32"/>
          <w:szCs w:val="32"/>
        </w:rPr>
      </w:pPr>
      <w:r w:rsidRPr="0059712A">
        <w:rPr>
          <w:rFonts w:ascii="仿宋" w:eastAsia="仿宋" w:hAnsi="仿宋" w:cs="宋体"/>
          <w:color w:val="000000"/>
          <w:spacing w:val="17"/>
          <w:kern w:val="0"/>
          <w:sz w:val="32"/>
          <w:szCs w:val="32"/>
        </w:rPr>
        <w:t>三、督促整改落实。在前期排查和指导的基础上，督促尚未落实的单位限期整改，并跟踪整改情况。对整改工作落实不到位的经营主体、食用农产品销售量较大以及群众投诉线索较多的单位进行重点督办，确保12月1日前整改完毕。</w:t>
      </w:r>
    </w:p>
    <w:p w:rsidR="0059712A" w:rsidRDefault="0059712A" w:rsidP="0059712A">
      <w:pPr>
        <w:widowControl/>
        <w:spacing w:line="480" w:lineRule="atLeast"/>
        <w:ind w:firstLine="544"/>
        <w:rPr>
          <w:rFonts w:ascii="仿宋" w:eastAsia="仿宋" w:hAnsi="仿宋" w:cs="宋体" w:hint="eastAsia"/>
          <w:kern w:val="0"/>
          <w:sz w:val="32"/>
          <w:szCs w:val="32"/>
        </w:rPr>
      </w:pPr>
    </w:p>
    <w:p w:rsidR="0059712A" w:rsidRDefault="0059712A" w:rsidP="0059712A">
      <w:pPr>
        <w:widowControl/>
        <w:spacing w:line="480" w:lineRule="atLeast"/>
        <w:ind w:firstLine="544"/>
        <w:rPr>
          <w:rFonts w:ascii="仿宋" w:eastAsia="仿宋" w:hAnsi="仿宋" w:cs="宋体" w:hint="eastAsia"/>
          <w:kern w:val="0"/>
          <w:sz w:val="32"/>
          <w:szCs w:val="32"/>
        </w:rPr>
      </w:pPr>
    </w:p>
    <w:p w:rsidR="0059712A" w:rsidRPr="0059712A" w:rsidRDefault="0059712A" w:rsidP="0059712A">
      <w:pPr>
        <w:widowControl/>
        <w:spacing w:line="480" w:lineRule="atLeast"/>
        <w:ind w:firstLine="544"/>
        <w:rPr>
          <w:rFonts w:ascii="仿宋" w:eastAsia="仿宋" w:hAnsi="仿宋" w:cs="宋体"/>
          <w:kern w:val="0"/>
          <w:sz w:val="32"/>
          <w:szCs w:val="32"/>
        </w:rPr>
      </w:pPr>
    </w:p>
    <w:p w:rsidR="0059712A" w:rsidRPr="0059712A" w:rsidRDefault="0059712A" w:rsidP="0059712A">
      <w:pPr>
        <w:widowControl/>
        <w:spacing w:line="480" w:lineRule="atLeast"/>
        <w:ind w:left="84" w:right="84"/>
        <w:jc w:val="right"/>
        <w:rPr>
          <w:rFonts w:ascii="仿宋" w:eastAsia="仿宋" w:hAnsi="仿宋" w:cs="宋体"/>
          <w:kern w:val="0"/>
          <w:sz w:val="32"/>
          <w:szCs w:val="32"/>
        </w:rPr>
      </w:pPr>
      <w:r w:rsidRPr="0059712A">
        <w:rPr>
          <w:rFonts w:ascii="仿宋" w:eastAsia="仿宋" w:hAnsi="仿宋" w:cs="宋体"/>
          <w:noProof/>
          <w:kern w:val="0"/>
          <w:sz w:val="32"/>
          <w:szCs w:val="32"/>
        </w:rPr>
        <w:drawing>
          <wp:inline distT="0" distB="0" distL="0" distR="0">
            <wp:extent cx="10795" cy="10795"/>
            <wp:effectExtent l="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59712A">
        <w:rPr>
          <w:rFonts w:ascii="仿宋" w:eastAsia="仿宋" w:hAnsi="仿宋" w:cs="宋体"/>
          <w:color w:val="000000"/>
          <w:spacing w:val="17"/>
          <w:kern w:val="0"/>
          <w:sz w:val="32"/>
          <w:szCs w:val="32"/>
        </w:rPr>
        <w:t>湖北省市场监督管理局办公室</w:t>
      </w:r>
    </w:p>
    <w:p w:rsidR="0059712A" w:rsidRPr="0059712A" w:rsidRDefault="0059712A" w:rsidP="0059712A">
      <w:pPr>
        <w:widowControl/>
        <w:spacing w:line="480" w:lineRule="atLeast"/>
        <w:ind w:left="84" w:right="792"/>
        <w:jc w:val="right"/>
        <w:rPr>
          <w:rFonts w:ascii="仿宋" w:eastAsia="仿宋" w:hAnsi="仿宋" w:cs="宋体"/>
          <w:kern w:val="0"/>
          <w:sz w:val="32"/>
          <w:szCs w:val="32"/>
        </w:rPr>
      </w:pPr>
      <w:r w:rsidRPr="0059712A">
        <w:rPr>
          <w:rFonts w:ascii="仿宋" w:eastAsia="仿宋" w:hAnsi="仿宋" w:cs="宋体"/>
          <w:color w:val="000000"/>
          <w:spacing w:val="17"/>
          <w:kern w:val="0"/>
          <w:sz w:val="32"/>
          <w:szCs w:val="32"/>
        </w:rPr>
        <w:t>2023年9月13日</w:t>
      </w:r>
    </w:p>
    <w:p w:rsidR="002B4F5B" w:rsidRPr="0059712A" w:rsidRDefault="002B4F5B">
      <w:pPr>
        <w:rPr>
          <w:rFonts w:ascii="仿宋" w:eastAsia="仿宋" w:hAnsi="仿宋"/>
          <w:sz w:val="32"/>
          <w:szCs w:val="32"/>
        </w:rPr>
      </w:pPr>
    </w:p>
    <w:sectPr w:rsidR="002B4F5B" w:rsidRPr="0059712A" w:rsidSect="002B4F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712A"/>
    <w:rsid w:val="002B4F5B"/>
    <w:rsid w:val="005971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F5B"/>
    <w:pPr>
      <w:widowControl w:val="0"/>
      <w:jc w:val="both"/>
    </w:pPr>
  </w:style>
  <w:style w:type="paragraph" w:styleId="1">
    <w:name w:val="heading 1"/>
    <w:basedOn w:val="a"/>
    <w:link w:val="1Char"/>
    <w:uiPriority w:val="9"/>
    <w:qFormat/>
    <w:rsid w:val="0059712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712A"/>
    <w:rPr>
      <w:rFonts w:ascii="宋体" w:eastAsia="宋体" w:hAnsi="宋体" w:cs="宋体"/>
      <w:b/>
      <w:bCs/>
      <w:kern w:val="36"/>
      <w:sz w:val="48"/>
      <w:szCs w:val="48"/>
    </w:rPr>
  </w:style>
  <w:style w:type="character" w:customStyle="1" w:styleId="richmediameta">
    <w:name w:val="rich_media_meta"/>
    <w:basedOn w:val="a0"/>
    <w:rsid w:val="0059712A"/>
  </w:style>
  <w:style w:type="character" w:styleId="a3">
    <w:name w:val="Hyperlink"/>
    <w:basedOn w:val="a0"/>
    <w:uiPriority w:val="99"/>
    <w:semiHidden/>
    <w:unhideWhenUsed/>
    <w:rsid w:val="0059712A"/>
    <w:rPr>
      <w:color w:val="0000FF"/>
      <w:u w:val="single"/>
    </w:rPr>
  </w:style>
  <w:style w:type="character" w:styleId="a4">
    <w:name w:val="Emphasis"/>
    <w:basedOn w:val="a0"/>
    <w:uiPriority w:val="20"/>
    <w:qFormat/>
    <w:rsid w:val="0059712A"/>
    <w:rPr>
      <w:i/>
      <w:iCs/>
    </w:rPr>
  </w:style>
  <w:style w:type="paragraph" w:styleId="a5">
    <w:name w:val="Normal (Web)"/>
    <w:basedOn w:val="a"/>
    <w:uiPriority w:val="99"/>
    <w:semiHidden/>
    <w:unhideWhenUsed/>
    <w:rsid w:val="0059712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9712A"/>
    <w:rPr>
      <w:b/>
      <w:bCs/>
    </w:rPr>
  </w:style>
  <w:style w:type="paragraph" w:styleId="a7">
    <w:name w:val="Balloon Text"/>
    <w:basedOn w:val="a"/>
    <w:link w:val="Char"/>
    <w:uiPriority w:val="99"/>
    <w:semiHidden/>
    <w:unhideWhenUsed/>
    <w:rsid w:val="0059712A"/>
    <w:rPr>
      <w:sz w:val="18"/>
      <w:szCs w:val="18"/>
    </w:rPr>
  </w:style>
  <w:style w:type="character" w:customStyle="1" w:styleId="Char">
    <w:name w:val="批注框文本 Char"/>
    <w:basedOn w:val="a0"/>
    <w:link w:val="a7"/>
    <w:uiPriority w:val="99"/>
    <w:semiHidden/>
    <w:rsid w:val="0059712A"/>
    <w:rPr>
      <w:sz w:val="18"/>
      <w:szCs w:val="18"/>
    </w:rPr>
  </w:style>
</w:styles>
</file>

<file path=word/webSettings.xml><?xml version="1.0" encoding="utf-8"?>
<w:webSettings xmlns:r="http://schemas.openxmlformats.org/officeDocument/2006/relationships" xmlns:w="http://schemas.openxmlformats.org/wordprocessingml/2006/main">
  <w:divs>
    <w:div w:id="1650590577">
      <w:bodyDiv w:val="1"/>
      <w:marLeft w:val="0"/>
      <w:marRight w:val="0"/>
      <w:marTop w:val="0"/>
      <w:marBottom w:val="0"/>
      <w:divBdr>
        <w:top w:val="none" w:sz="0" w:space="0" w:color="auto"/>
        <w:left w:val="none" w:sz="0" w:space="0" w:color="auto"/>
        <w:bottom w:val="none" w:sz="0" w:space="0" w:color="auto"/>
        <w:right w:val="none" w:sz="0" w:space="0" w:color="auto"/>
      </w:divBdr>
      <w:divsChild>
        <w:div w:id="391002886">
          <w:marLeft w:val="0"/>
          <w:marRight w:val="0"/>
          <w:marTop w:val="0"/>
          <w:marBottom w:val="3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2023-12-01T01:39:00Z</dcterms:created>
  <dcterms:modified xsi:type="dcterms:W3CDTF">2023-12-01T01:47:00Z</dcterms:modified>
</cp:coreProperties>
</file>