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p>
    <w:p>
      <w:pPr>
        <w:rPr>
          <w:rFonts w:ascii="宋体" w:hAnsi="宋体" w:eastAsia="宋体"/>
        </w:rPr>
      </w:pPr>
    </w:p>
    <w:p>
      <w:pPr>
        <w:rPr>
          <w:rFonts w:ascii="宋体" w:hAnsi="宋体" w:eastAsia="宋体"/>
        </w:rPr>
      </w:pPr>
    </w:p>
    <w:p>
      <w:pPr>
        <w:jc w:val="center"/>
        <w:rPr>
          <w:rFonts w:ascii="楷体" w:hAnsi="楷体" w:eastAsia="楷体"/>
          <w:b/>
          <w:bCs/>
          <w:sz w:val="44"/>
          <w:szCs w:val="44"/>
        </w:rPr>
      </w:pPr>
      <w:r>
        <w:rPr>
          <w:rFonts w:hint="eastAsia" w:ascii="楷体" w:hAnsi="楷体" w:eastAsia="楷体"/>
          <w:b/>
          <w:bCs/>
          <w:sz w:val="44"/>
          <w:szCs w:val="44"/>
        </w:rPr>
        <w:t>202</w:t>
      </w:r>
      <w:r>
        <w:rPr>
          <w:rFonts w:ascii="楷体" w:hAnsi="楷体" w:eastAsia="楷体"/>
          <w:b/>
          <w:bCs/>
          <w:sz w:val="44"/>
          <w:szCs w:val="44"/>
        </w:rPr>
        <w:t>1</w:t>
      </w:r>
      <w:r>
        <w:rPr>
          <w:rFonts w:hint="eastAsia" w:ascii="楷体" w:hAnsi="楷体" w:eastAsia="楷体"/>
          <w:b/>
          <w:bCs/>
          <w:sz w:val="44"/>
          <w:szCs w:val="44"/>
        </w:rPr>
        <w:t>年武汉市公平竞争审查</w:t>
      </w:r>
    </w:p>
    <w:p>
      <w:pPr>
        <w:jc w:val="center"/>
        <w:rPr>
          <w:rFonts w:ascii="隶书" w:hAnsi="黑体" w:eastAsia="隶书"/>
          <w:b/>
          <w:bCs/>
          <w:sz w:val="48"/>
          <w:szCs w:val="48"/>
        </w:rPr>
      </w:pPr>
    </w:p>
    <w:p>
      <w:pPr>
        <w:jc w:val="center"/>
        <w:rPr>
          <w:rFonts w:ascii="黑体" w:hAnsi="黑体" w:eastAsia="黑体"/>
          <w:b/>
          <w:bCs/>
          <w:sz w:val="52"/>
          <w:szCs w:val="52"/>
        </w:rPr>
      </w:pPr>
      <w:r>
        <w:rPr>
          <w:rFonts w:hint="eastAsia" w:ascii="黑体" w:hAnsi="黑体" w:eastAsia="黑体"/>
          <w:b/>
          <w:bCs/>
          <w:sz w:val="52"/>
          <w:szCs w:val="52"/>
        </w:rPr>
        <w:t>第三方评估报告</w:t>
      </w:r>
    </w:p>
    <w:p>
      <w:pPr>
        <w:jc w:val="center"/>
        <w:rPr>
          <w:rFonts w:ascii="楷体" w:hAnsi="楷体" w:eastAsia="楷体"/>
          <w:b/>
          <w:bCs/>
          <w:sz w:val="44"/>
          <w:szCs w:val="44"/>
        </w:rPr>
      </w:pPr>
    </w:p>
    <w:p>
      <w:pPr>
        <w:jc w:val="center"/>
        <w:rPr>
          <w:rFonts w:ascii="楷体" w:hAnsi="楷体" w:eastAsia="楷体"/>
          <w:b/>
          <w:bCs/>
          <w:sz w:val="44"/>
          <w:szCs w:val="44"/>
        </w:rPr>
      </w:pPr>
      <w:r>
        <w:rPr>
          <w:rFonts w:hint="eastAsia" w:ascii="楷体" w:hAnsi="楷体" w:eastAsia="楷体"/>
          <w:b/>
          <w:bCs/>
          <w:sz w:val="44"/>
          <w:szCs w:val="44"/>
        </w:rPr>
        <w:t>（正文）</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hint="eastAsia" w:ascii="宋体" w:hAnsi="宋体" w:eastAsia="宋体"/>
        </w:rPr>
      </w:pPr>
    </w:p>
    <w:p>
      <w:pPr>
        <w:jc w:val="center"/>
        <w:rPr>
          <w:rFonts w:ascii="楷体" w:hAnsi="楷体" w:eastAsia="楷体"/>
          <w:b/>
          <w:bCs/>
          <w:sz w:val="32"/>
          <w:szCs w:val="32"/>
        </w:rPr>
      </w:pPr>
      <w:r>
        <w:rPr>
          <w:rFonts w:hint="eastAsia" w:ascii="楷体" w:hAnsi="楷体" w:eastAsia="楷体"/>
          <w:b/>
          <w:bCs/>
          <w:sz w:val="32"/>
          <w:szCs w:val="32"/>
        </w:rPr>
        <w:t>中南财经政法大学经济法研究所</w:t>
      </w:r>
    </w:p>
    <w:p>
      <w:pPr>
        <w:jc w:val="center"/>
        <w:rPr>
          <w:rFonts w:ascii="楷体" w:hAnsi="楷体" w:eastAsia="楷体"/>
          <w:b/>
          <w:bCs/>
          <w:sz w:val="32"/>
          <w:szCs w:val="32"/>
        </w:rPr>
      </w:pPr>
      <w:r>
        <w:rPr>
          <w:rFonts w:hint="eastAsia" w:ascii="楷体" w:hAnsi="楷体" w:eastAsia="楷体"/>
          <w:b/>
          <w:bCs/>
          <w:sz w:val="32"/>
          <w:szCs w:val="32"/>
        </w:rPr>
        <w:t>202</w:t>
      </w:r>
      <w:r>
        <w:rPr>
          <w:rFonts w:ascii="楷体" w:hAnsi="楷体" w:eastAsia="楷体"/>
          <w:b/>
          <w:bCs/>
          <w:sz w:val="32"/>
          <w:szCs w:val="32"/>
        </w:rPr>
        <w:t>2</w:t>
      </w:r>
      <w:r>
        <w:rPr>
          <w:rFonts w:hint="eastAsia" w:ascii="楷体" w:hAnsi="楷体" w:eastAsia="楷体"/>
          <w:b/>
          <w:bCs/>
          <w:sz w:val="32"/>
          <w:szCs w:val="32"/>
        </w:rPr>
        <w:t>年</w:t>
      </w:r>
      <w:r>
        <w:rPr>
          <w:rFonts w:ascii="楷体" w:hAnsi="楷体" w:eastAsia="楷体"/>
          <w:b/>
          <w:bCs/>
          <w:sz w:val="32"/>
          <w:szCs w:val="32"/>
        </w:rPr>
        <w:t>3</w:t>
      </w:r>
      <w:r>
        <w:rPr>
          <w:rFonts w:hint="eastAsia" w:ascii="楷体" w:hAnsi="楷体" w:eastAsia="楷体"/>
          <w:b/>
          <w:bCs/>
          <w:sz w:val="32"/>
          <w:szCs w:val="32"/>
        </w:rPr>
        <w:t>月</w:t>
      </w:r>
      <w:r>
        <w:rPr>
          <w:rFonts w:hint="eastAsia" w:ascii="楷体" w:hAnsi="楷体" w:eastAsia="楷体"/>
          <w:b/>
          <w:bCs/>
          <w:sz w:val="32"/>
          <w:szCs w:val="32"/>
          <w:lang w:val="en-US" w:eastAsia="zh-CN"/>
        </w:rPr>
        <w:t>30</w:t>
      </w:r>
      <w:r>
        <w:rPr>
          <w:rFonts w:hint="eastAsia" w:ascii="楷体" w:hAnsi="楷体" w:eastAsia="楷体"/>
          <w:b/>
          <w:bCs/>
          <w:sz w:val="32"/>
          <w:szCs w:val="32"/>
        </w:rPr>
        <w:t>日</w:t>
      </w:r>
    </w:p>
    <w:p>
      <w:pPr>
        <w:rPr>
          <w:rFonts w:ascii="宋体" w:hAnsi="宋体" w:eastAsia="宋体"/>
        </w:rPr>
        <w:sectPr>
          <w:pgSz w:w="11906" w:h="16838"/>
          <w:pgMar w:top="1440" w:right="1800" w:bottom="1440" w:left="1800" w:header="851" w:footer="992" w:gutter="0"/>
          <w:pgNumType w:fmt="decimal" w:start="1"/>
          <w:cols w:space="425" w:num="1"/>
          <w:docGrid w:type="lines" w:linePitch="312" w:charSpace="0"/>
        </w:sectPr>
      </w:pPr>
    </w:p>
    <w:p>
      <w:pPr>
        <w:rPr>
          <w:rFonts w:ascii="宋体" w:hAnsi="宋体" w:eastAsia="宋体"/>
        </w:rPr>
      </w:pPr>
    </w:p>
    <w:p>
      <w:pPr>
        <w:rPr>
          <w:rFonts w:ascii="宋体" w:hAnsi="宋体" w:eastAsia="宋体"/>
        </w:rPr>
      </w:pPr>
    </w:p>
    <w:p>
      <w:pPr>
        <w:ind w:firstLine="430"/>
        <w:rPr>
          <w:rFonts w:ascii="宋体" w:hAnsi="宋体" w:eastAsia="宋体"/>
        </w:rPr>
      </w:pPr>
      <w:r>
        <w:rPr>
          <w:rFonts w:hint="eastAsia" w:ascii="宋体" w:hAnsi="宋体" w:eastAsia="宋体"/>
        </w:rPr>
        <w:t>公平竞争审查制度是防止政府过度和不当干预市场、营造公平竞争的市场环境、激发各类市场主体创新创业活力的重要制度安排。为促进武汉市各政府部门健全公平竞争审查机制，推进公平竞争审查工作深入实施，切实提高公平竞争审查工作质量，并以此助力优化武汉市营商环境，市公平竞争审查工作联席会议办公室（市场监督管理局）决定委托中南财经政法大学开展公平竞争审查第三方评估工作。双方于2</w:t>
      </w:r>
      <w:r>
        <w:rPr>
          <w:rFonts w:ascii="宋体" w:hAnsi="宋体" w:eastAsia="宋体"/>
        </w:rPr>
        <w:t>021</w:t>
      </w:r>
      <w:r>
        <w:rPr>
          <w:rFonts w:hint="eastAsia" w:ascii="宋体" w:hAnsi="宋体" w:eastAsia="宋体"/>
        </w:rPr>
        <w:t>年5月签订《武汉市公平竞争审查第三方评估服务合同书》。本次第三方评估工作由中南财经政法大学经济法研究所具体实施。在市公平竞争审查工作联席会议办公室（市场监管局）的指导和</w:t>
      </w:r>
      <w:r>
        <w:rPr>
          <w:rFonts w:hint="eastAsia" w:ascii="宋体" w:hAnsi="宋体" w:eastAsia="宋体"/>
          <w:lang w:eastAsia="zh-CN"/>
        </w:rPr>
        <w:t>复核</w:t>
      </w:r>
      <w:bookmarkStart w:id="1" w:name="_GoBack"/>
      <w:bookmarkEnd w:id="1"/>
      <w:r>
        <w:rPr>
          <w:rFonts w:hint="eastAsia" w:ascii="宋体" w:hAnsi="宋体" w:eastAsia="宋体"/>
        </w:rPr>
        <w:t>下，在各评估对象单位的协助配合下，第三方评估工作现已顺利完成，现将有关情况总结汇报如下。</w:t>
      </w:r>
    </w:p>
    <w:p>
      <w:pPr>
        <w:ind w:firstLine="430"/>
        <w:rPr>
          <w:rFonts w:ascii="宋体" w:hAnsi="宋体" w:eastAsia="宋体"/>
        </w:rPr>
      </w:pPr>
    </w:p>
    <w:p>
      <w:pPr>
        <w:rPr>
          <w:rFonts w:ascii="黑体" w:hAnsi="黑体" w:eastAsia="黑体"/>
          <w:sz w:val="24"/>
          <w:szCs w:val="24"/>
        </w:rPr>
      </w:pPr>
      <w:r>
        <w:rPr>
          <w:rFonts w:hint="eastAsia" w:ascii="宋体" w:hAnsi="宋体" w:eastAsia="宋体"/>
        </w:rPr>
        <w:t xml:space="preserve"> </w:t>
      </w:r>
      <w:r>
        <w:rPr>
          <w:rFonts w:ascii="宋体" w:hAnsi="宋体" w:eastAsia="宋体"/>
        </w:rPr>
        <w:t xml:space="preserve">  </w:t>
      </w:r>
      <w:r>
        <w:rPr>
          <w:rFonts w:ascii="黑体" w:hAnsi="黑体" w:eastAsia="黑体"/>
          <w:sz w:val="24"/>
          <w:szCs w:val="24"/>
        </w:rPr>
        <w:t xml:space="preserve"> </w:t>
      </w:r>
      <w:r>
        <w:rPr>
          <w:rFonts w:hint="eastAsia" w:ascii="黑体" w:hAnsi="黑体" w:eastAsia="黑体"/>
          <w:sz w:val="24"/>
          <w:szCs w:val="24"/>
        </w:rPr>
        <w:t>一、评估工作概况</w:t>
      </w:r>
    </w:p>
    <w:p>
      <w:pPr>
        <w:rPr>
          <w:rFonts w:ascii="宋体" w:hAnsi="宋体" w:eastAsia="宋体"/>
        </w:rPr>
      </w:pPr>
    </w:p>
    <w:p>
      <w:pPr>
        <w:ind w:firstLine="422" w:firstLineChars="200"/>
        <w:rPr>
          <w:rFonts w:ascii="宋体" w:hAnsi="宋体" w:eastAsia="宋体"/>
          <w:b/>
          <w:bCs/>
          <w:szCs w:val="21"/>
        </w:rPr>
      </w:pPr>
      <w:r>
        <w:rPr>
          <w:rFonts w:hint="eastAsia" w:ascii="宋体" w:hAnsi="宋体" w:eastAsia="宋体"/>
          <w:b/>
          <w:bCs/>
          <w:szCs w:val="21"/>
        </w:rPr>
        <w:t>（一）评估对象</w:t>
      </w:r>
    </w:p>
    <w:p>
      <w:pPr>
        <w:ind w:firstLine="420" w:firstLineChars="200"/>
        <w:rPr>
          <w:rFonts w:ascii="宋体" w:hAnsi="宋体" w:eastAsia="宋体"/>
        </w:rPr>
      </w:pPr>
      <w:r>
        <w:rPr>
          <w:rFonts w:hint="eastAsia" w:ascii="宋体" w:hAnsi="宋体" w:eastAsia="宋体"/>
        </w:rPr>
        <w:t>根据武汉市公平竞争审查工作联席会议办公室（市场监管局）与第三方机构于服务合同中的约定，本次第三方评估涉及的对象单位，包括市公平竞争审查工作联席会议2</w:t>
      </w:r>
      <w:r>
        <w:rPr>
          <w:rFonts w:ascii="宋体" w:hAnsi="宋体" w:eastAsia="宋体"/>
        </w:rPr>
        <w:t>5</w:t>
      </w:r>
      <w:r>
        <w:rPr>
          <w:rFonts w:hint="eastAsia" w:ascii="宋体" w:hAnsi="宋体" w:eastAsia="宋体"/>
        </w:rPr>
        <w:t>家市直成员单位（不包括武汉市政府）和1</w:t>
      </w:r>
      <w:r>
        <w:rPr>
          <w:rFonts w:ascii="宋体" w:hAnsi="宋体" w:eastAsia="宋体"/>
        </w:rPr>
        <w:t>5</w:t>
      </w:r>
      <w:r>
        <w:rPr>
          <w:rFonts w:hint="eastAsia" w:ascii="宋体" w:hAnsi="宋体" w:eastAsia="宋体"/>
        </w:rPr>
        <w:t>家区政府（开发区管委会），对这4</w:t>
      </w:r>
      <w:r>
        <w:rPr>
          <w:rFonts w:ascii="宋体" w:hAnsi="宋体" w:eastAsia="宋体"/>
        </w:rPr>
        <w:t>0</w:t>
      </w:r>
      <w:r>
        <w:rPr>
          <w:rFonts w:hint="eastAsia" w:ascii="宋体" w:hAnsi="宋体" w:eastAsia="宋体"/>
        </w:rPr>
        <w:t>家行政机关2</w:t>
      </w:r>
      <w:r>
        <w:rPr>
          <w:rFonts w:ascii="宋体" w:hAnsi="宋体" w:eastAsia="宋体"/>
        </w:rPr>
        <w:t>021</w:t>
      </w:r>
      <w:r>
        <w:rPr>
          <w:rFonts w:hint="eastAsia" w:ascii="宋体" w:hAnsi="宋体" w:eastAsia="宋体"/>
        </w:rPr>
        <w:t>年出台的涉及市场主体经济活动的政策措施的公平竞争审查进行复查，并结合调查问卷中反馈的信息以及公平竞争审查复查中了解的情况，对各单位公平竞争审查机制建设和工作实施情况进行评估。</w:t>
      </w:r>
    </w:p>
    <w:p>
      <w:pPr>
        <w:ind w:firstLine="420"/>
        <w:rPr>
          <w:rFonts w:ascii="宋体" w:hAnsi="宋体" w:eastAsia="宋体"/>
        </w:rPr>
      </w:pPr>
      <w:r>
        <w:rPr>
          <w:rFonts w:hint="eastAsia" w:ascii="宋体" w:hAnsi="宋体" w:eastAsia="宋体"/>
        </w:rPr>
        <w:t>截至评估报告定稿之时，第三方机构收齐了全部4</w:t>
      </w:r>
      <w:r>
        <w:rPr>
          <w:rFonts w:ascii="宋体" w:hAnsi="宋体" w:eastAsia="宋体"/>
        </w:rPr>
        <w:t>0</w:t>
      </w:r>
      <w:r>
        <w:rPr>
          <w:rFonts w:hint="eastAsia" w:ascii="宋体" w:hAnsi="宋体" w:eastAsia="宋体"/>
        </w:rPr>
        <w:t>家评估对象单位提交的调查问卷、相关政策措施原文及公平竞争自我审查书面文件（公平竞争审查表）。在各单位于调查问卷中填写数据基础上，经评估机构分析、统计，2</w:t>
      </w:r>
      <w:r>
        <w:rPr>
          <w:rFonts w:ascii="宋体" w:hAnsi="宋体" w:eastAsia="宋体"/>
        </w:rPr>
        <w:t>021</w:t>
      </w:r>
      <w:r>
        <w:rPr>
          <w:rFonts w:hint="eastAsia" w:ascii="宋体" w:hAnsi="宋体" w:eastAsia="宋体"/>
        </w:rPr>
        <w:t>年度评估对象单位共计出台政策措施3</w:t>
      </w:r>
      <w:r>
        <w:rPr>
          <w:rFonts w:ascii="宋体" w:hAnsi="宋体" w:eastAsia="宋体"/>
        </w:rPr>
        <w:t>73</w:t>
      </w:r>
      <w:r>
        <w:rPr>
          <w:rFonts w:hint="eastAsia" w:ascii="宋体" w:hAnsi="宋体" w:eastAsia="宋体"/>
        </w:rPr>
        <w:t>份，涉及市场主体经济活动的有7</w:t>
      </w:r>
      <w:r>
        <w:rPr>
          <w:rFonts w:ascii="宋体" w:hAnsi="宋体" w:eastAsia="宋体"/>
        </w:rPr>
        <w:t>2</w:t>
      </w:r>
      <w:r>
        <w:rPr>
          <w:rFonts w:hint="eastAsia" w:ascii="宋体" w:hAnsi="宋体" w:eastAsia="宋体"/>
        </w:rPr>
        <w:t>份。4</w:t>
      </w:r>
      <w:r>
        <w:rPr>
          <w:rFonts w:ascii="宋体" w:hAnsi="宋体" w:eastAsia="宋体"/>
        </w:rPr>
        <w:t>0</w:t>
      </w:r>
      <w:r>
        <w:rPr>
          <w:rFonts w:hint="eastAsia" w:ascii="宋体" w:hAnsi="宋体" w:eastAsia="宋体"/>
        </w:rPr>
        <w:t>家单位中，武汉市商务局、司法局、农业农村局、国资委、地方金融工作局、人民银行武汉分行、东湖风景区、江汉区政府、江夏区政府本年度没有出台任何政策措施；教育局、自然资源规划局、文化旅游局、卫生健康委、医疗保障局、数据管理局、新洲区政府、硚口区政府、黄陂区政府出台了政策措施，但均不涉及市场主体的经济活动。由此，本次第三方评估需要进行公平竞争审查复查的政策措施集中于市市场监督管理局、发展和改革委员会、财政局、科技局、经信局、民政局、生态环境局、城乡建设局、城市管理执法委、交通运输局、水务局、住房保障局、税务局、蔡甸区政府、武昌区政府、青山区政府、东湖开发区管委会、东西湖区政府（临空港开发区管委会）、汉阳区政府、江岸区政府、经开区管委会（汉南区政府）、洪山区政府这2</w:t>
      </w:r>
      <w:r>
        <w:rPr>
          <w:rFonts w:ascii="宋体" w:hAnsi="宋体" w:eastAsia="宋体"/>
        </w:rPr>
        <w:t>2</w:t>
      </w:r>
      <w:r>
        <w:rPr>
          <w:rFonts w:hint="eastAsia" w:ascii="宋体" w:hAnsi="宋体" w:eastAsia="宋体"/>
        </w:rPr>
        <w:t>家政府部门。</w:t>
      </w:r>
    </w:p>
    <w:p>
      <w:pPr>
        <w:ind w:firstLine="420"/>
        <w:rPr>
          <w:rFonts w:ascii="宋体" w:hAnsi="宋体" w:eastAsia="宋体"/>
        </w:rPr>
      </w:pPr>
      <w:r>
        <w:rPr>
          <w:rFonts w:hint="eastAsia" w:ascii="宋体" w:hAnsi="宋体" w:eastAsia="宋体"/>
        </w:rPr>
        <w:t>各单位具体情况见表1。</w:t>
      </w:r>
    </w:p>
    <w:p>
      <w:pPr>
        <w:ind w:firstLine="420" w:firstLineChars="200"/>
        <w:rPr>
          <w:rFonts w:ascii="宋体" w:hAnsi="宋体" w:eastAsia="宋体"/>
        </w:rPr>
      </w:pPr>
      <w:r>
        <w:rPr>
          <w:rFonts w:hint="eastAsia" w:ascii="楷体" w:hAnsi="楷体" w:eastAsia="楷体"/>
        </w:rPr>
        <w:t>表1.</w:t>
      </w:r>
      <w:r>
        <w:rPr>
          <w:rFonts w:ascii="楷体" w:hAnsi="楷体" w:eastAsia="楷体"/>
        </w:rPr>
        <w:t xml:space="preserve"> </w:t>
      </w:r>
      <w:r>
        <w:rPr>
          <w:rFonts w:hint="eastAsia" w:ascii="楷体" w:hAnsi="楷体" w:eastAsia="楷体"/>
        </w:rPr>
        <w:t>202</w:t>
      </w:r>
      <w:r>
        <w:rPr>
          <w:rFonts w:ascii="楷体" w:hAnsi="楷体" w:eastAsia="楷体"/>
        </w:rPr>
        <w:t>1</w:t>
      </w:r>
      <w:r>
        <w:rPr>
          <w:rFonts w:hint="eastAsia" w:ascii="楷体" w:hAnsi="楷体" w:eastAsia="楷体"/>
        </w:rPr>
        <w:t>年武汉市4</w:t>
      </w:r>
      <w:r>
        <w:rPr>
          <w:rFonts w:ascii="楷体" w:hAnsi="楷体" w:eastAsia="楷体"/>
        </w:rPr>
        <w:t>0</w:t>
      </w:r>
      <w:r>
        <w:rPr>
          <w:rFonts w:hint="eastAsia" w:ascii="楷体" w:hAnsi="楷体" w:eastAsia="楷体"/>
        </w:rPr>
        <w:t>家行政机关出台涉及市场主体经济活动政策措施数量统计表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序号</w:t>
            </w:r>
          </w:p>
        </w:tc>
        <w:tc>
          <w:tcPr>
            <w:tcW w:w="2835" w:type="dxa"/>
          </w:tcPr>
          <w:p>
            <w:pPr>
              <w:rPr>
                <w:rFonts w:ascii="宋体" w:hAnsi="宋体" w:eastAsia="宋体"/>
              </w:rPr>
            </w:pPr>
            <w:r>
              <w:rPr>
                <w:rFonts w:hint="eastAsia" w:ascii="宋体" w:hAnsi="宋体" w:eastAsia="宋体"/>
              </w:rPr>
              <w:t>单位名称</w:t>
            </w:r>
          </w:p>
        </w:tc>
        <w:tc>
          <w:tcPr>
            <w:tcW w:w="2410" w:type="dxa"/>
          </w:tcPr>
          <w:p>
            <w:pPr>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年度政策措施总数</w:t>
            </w:r>
          </w:p>
        </w:tc>
        <w:tc>
          <w:tcPr>
            <w:tcW w:w="2409" w:type="dxa"/>
          </w:tcPr>
          <w:p>
            <w:pPr>
              <w:rPr>
                <w:rFonts w:ascii="宋体" w:hAnsi="宋体" w:eastAsia="宋体"/>
              </w:rPr>
            </w:pPr>
            <w:r>
              <w:rPr>
                <w:rFonts w:hint="eastAsia" w:ascii="宋体" w:hAnsi="宋体" w:eastAsia="宋体"/>
                <w:szCs w:val="21"/>
              </w:rPr>
              <w:t>涉市场主体经济活动政策措施数量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p>
        </w:tc>
        <w:tc>
          <w:tcPr>
            <w:tcW w:w="2835" w:type="dxa"/>
          </w:tcPr>
          <w:p>
            <w:pPr>
              <w:rPr>
                <w:rFonts w:ascii="宋体" w:hAnsi="宋体" w:eastAsia="宋体"/>
              </w:rPr>
            </w:pPr>
            <w:r>
              <w:rPr>
                <w:rFonts w:hint="eastAsia" w:ascii="宋体" w:hAnsi="宋体" w:eastAsia="宋体"/>
              </w:rPr>
              <w:t>市场监督管理局</w:t>
            </w:r>
          </w:p>
        </w:tc>
        <w:tc>
          <w:tcPr>
            <w:tcW w:w="2410" w:type="dxa"/>
          </w:tcPr>
          <w:p>
            <w:pPr>
              <w:rPr>
                <w:rFonts w:ascii="宋体" w:hAnsi="宋体" w:eastAsia="宋体"/>
              </w:rPr>
            </w:pPr>
            <w:r>
              <w:rPr>
                <w:rFonts w:hint="eastAsia" w:ascii="宋体" w:hAnsi="宋体" w:eastAsia="宋体"/>
              </w:rPr>
              <w:t>4</w:t>
            </w:r>
          </w:p>
        </w:tc>
        <w:tc>
          <w:tcPr>
            <w:tcW w:w="2409" w:type="dxa"/>
          </w:tcPr>
          <w:p>
            <w:pP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p>
        </w:tc>
        <w:tc>
          <w:tcPr>
            <w:tcW w:w="2835" w:type="dxa"/>
          </w:tcPr>
          <w:p>
            <w:pPr>
              <w:rPr>
                <w:rFonts w:ascii="宋体" w:hAnsi="宋体" w:eastAsia="宋体"/>
              </w:rPr>
            </w:pPr>
            <w:r>
              <w:rPr>
                <w:rFonts w:hint="eastAsia" w:ascii="宋体" w:hAnsi="宋体" w:eastAsia="宋体"/>
              </w:rPr>
              <w:t>发展和改革委员会</w:t>
            </w:r>
          </w:p>
        </w:tc>
        <w:tc>
          <w:tcPr>
            <w:tcW w:w="2410" w:type="dxa"/>
          </w:tcPr>
          <w:p>
            <w:pPr>
              <w:rPr>
                <w:rFonts w:ascii="宋体" w:hAnsi="宋体" w:eastAsia="宋体"/>
              </w:rPr>
            </w:pPr>
            <w:r>
              <w:rPr>
                <w:rFonts w:hint="eastAsia" w:ascii="宋体" w:hAnsi="宋体" w:eastAsia="宋体"/>
              </w:rPr>
              <w:t>2</w:t>
            </w:r>
          </w:p>
        </w:tc>
        <w:tc>
          <w:tcPr>
            <w:tcW w:w="2409" w:type="dxa"/>
          </w:tcPr>
          <w:p>
            <w:pP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p>
        </w:tc>
        <w:tc>
          <w:tcPr>
            <w:tcW w:w="2835" w:type="dxa"/>
          </w:tcPr>
          <w:p>
            <w:pPr>
              <w:rPr>
                <w:rFonts w:ascii="宋体" w:hAnsi="宋体" w:eastAsia="宋体"/>
              </w:rPr>
            </w:pPr>
            <w:r>
              <w:rPr>
                <w:rFonts w:hint="eastAsia" w:ascii="宋体" w:hAnsi="宋体" w:eastAsia="宋体"/>
              </w:rPr>
              <w:t>财政局</w:t>
            </w:r>
          </w:p>
        </w:tc>
        <w:tc>
          <w:tcPr>
            <w:tcW w:w="2410" w:type="dxa"/>
          </w:tcPr>
          <w:p>
            <w:pPr>
              <w:rPr>
                <w:rFonts w:ascii="宋体" w:hAnsi="宋体" w:eastAsia="宋体"/>
              </w:rPr>
            </w:pPr>
            <w:r>
              <w:rPr>
                <w:rFonts w:hint="eastAsia" w:ascii="宋体" w:hAnsi="宋体" w:eastAsia="宋体"/>
              </w:rPr>
              <w:t>3</w:t>
            </w:r>
          </w:p>
        </w:tc>
        <w:tc>
          <w:tcPr>
            <w:tcW w:w="2409" w:type="dxa"/>
          </w:tcPr>
          <w:p>
            <w:pP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4</w:t>
            </w:r>
          </w:p>
        </w:tc>
        <w:tc>
          <w:tcPr>
            <w:tcW w:w="2835" w:type="dxa"/>
          </w:tcPr>
          <w:p>
            <w:pPr>
              <w:rPr>
                <w:rFonts w:ascii="宋体" w:hAnsi="宋体" w:eastAsia="宋体"/>
              </w:rPr>
            </w:pPr>
            <w:r>
              <w:rPr>
                <w:rFonts w:hint="eastAsia" w:ascii="宋体" w:hAnsi="宋体" w:eastAsia="宋体"/>
              </w:rPr>
              <w:t>商务局</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5</w:t>
            </w:r>
          </w:p>
        </w:tc>
        <w:tc>
          <w:tcPr>
            <w:tcW w:w="2835" w:type="dxa"/>
          </w:tcPr>
          <w:p>
            <w:pPr>
              <w:rPr>
                <w:rFonts w:ascii="宋体" w:hAnsi="宋体" w:eastAsia="宋体"/>
              </w:rPr>
            </w:pPr>
            <w:r>
              <w:rPr>
                <w:rFonts w:hint="eastAsia" w:ascii="宋体" w:hAnsi="宋体" w:eastAsia="宋体"/>
              </w:rPr>
              <w:t>教育局</w:t>
            </w:r>
          </w:p>
        </w:tc>
        <w:tc>
          <w:tcPr>
            <w:tcW w:w="2410" w:type="dxa"/>
          </w:tcPr>
          <w:p>
            <w:pPr>
              <w:rPr>
                <w:rFonts w:ascii="宋体" w:hAnsi="宋体" w:eastAsia="宋体"/>
              </w:rPr>
            </w:pPr>
            <w:r>
              <w:rPr>
                <w:rFonts w:hint="eastAsia" w:ascii="宋体" w:hAnsi="宋体" w:eastAsia="宋体"/>
              </w:rPr>
              <w:t>2</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szCs w:val="21"/>
              </w:rPr>
            </w:pPr>
            <w:r>
              <w:rPr>
                <w:rFonts w:hint="eastAsia" w:ascii="宋体" w:hAnsi="宋体" w:eastAsia="宋体"/>
                <w:szCs w:val="21"/>
              </w:rPr>
              <w:t>6</w:t>
            </w:r>
          </w:p>
        </w:tc>
        <w:tc>
          <w:tcPr>
            <w:tcW w:w="2835" w:type="dxa"/>
          </w:tcPr>
          <w:p>
            <w:pPr>
              <w:rPr>
                <w:rFonts w:ascii="宋体" w:hAnsi="宋体" w:eastAsia="宋体"/>
                <w:szCs w:val="21"/>
              </w:rPr>
            </w:pPr>
            <w:r>
              <w:rPr>
                <w:rFonts w:hint="eastAsia" w:ascii="宋体" w:hAnsi="宋体" w:eastAsia="宋体"/>
                <w:szCs w:val="21"/>
              </w:rPr>
              <w:t>科技局</w:t>
            </w:r>
          </w:p>
        </w:tc>
        <w:tc>
          <w:tcPr>
            <w:tcW w:w="2410" w:type="dxa"/>
          </w:tcPr>
          <w:p>
            <w:pPr>
              <w:rPr>
                <w:rFonts w:ascii="宋体" w:hAnsi="宋体" w:eastAsia="宋体"/>
              </w:rPr>
            </w:pPr>
            <w:r>
              <w:rPr>
                <w:rFonts w:hint="eastAsia" w:ascii="宋体" w:hAnsi="宋体" w:eastAsia="宋体"/>
              </w:rPr>
              <w:t>1</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1</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szCs w:val="21"/>
              </w:rPr>
            </w:pPr>
            <w:r>
              <w:rPr>
                <w:rFonts w:hint="eastAsia" w:ascii="宋体" w:hAnsi="宋体" w:eastAsia="宋体"/>
                <w:szCs w:val="21"/>
              </w:rPr>
              <w:t>7</w:t>
            </w:r>
          </w:p>
        </w:tc>
        <w:tc>
          <w:tcPr>
            <w:tcW w:w="2835" w:type="dxa"/>
          </w:tcPr>
          <w:p>
            <w:pPr>
              <w:rPr>
                <w:rFonts w:ascii="宋体" w:hAnsi="宋体" w:eastAsia="宋体"/>
              </w:rPr>
            </w:pPr>
            <w:r>
              <w:rPr>
                <w:rFonts w:hint="eastAsia" w:ascii="宋体" w:hAnsi="宋体" w:eastAsia="宋体"/>
              </w:rPr>
              <w:t>经济和信息化局</w:t>
            </w:r>
          </w:p>
        </w:tc>
        <w:tc>
          <w:tcPr>
            <w:tcW w:w="2410" w:type="dxa"/>
          </w:tcPr>
          <w:p>
            <w:pPr>
              <w:rPr>
                <w:rFonts w:ascii="宋体" w:hAnsi="宋体" w:eastAsia="宋体"/>
              </w:rPr>
            </w:pPr>
            <w:r>
              <w:rPr>
                <w:rFonts w:hint="eastAsia" w:ascii="宋体" w:hAnsi="宋体" w:eastAsia="宋体"/>
              </w:rPr>
              <w:t>4</w:t>
            </w:r>
          </w:p>
        </w:tc>
        <w:tc>
          <w:tcPr>
            <w:tcW w:w="2409" w:type="dxa"/>
          </w:tcPr>
          <w:p>
            <w:pPr>
              <w:rPr>
                <w:rFonts w:ascii="宋体" w:hAnsi="宋体" w:eastAsia="宋体"/>
              </w:rPr>
            </w:pPr>
            <w:r>
              <w:rPr>
                <w:rFonts w:hint="eastAsia" w:ascii="宋体" w:hAnsi="宋体" w:eastAsia="宋体"/>
              </w:rPr>
              <w:t>3</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8</w:t>
            </w:r>
          </w:p>
        </w:tc>
        <w:tc>
          <w:tcPr>
            <w:tcW w:w="2835" w:type="dxa"/>
          </w:tcPr>
          <w:p>
            <w:pPr>
              <w:rPr>
                <w:rFonts w:ascii="宋体" w:hAnsi="宋体" w:eastAsia="宋体"/>
              </w:rPr>
            </w:pPr>
            <w:r>
              <w:rPr>
                <w:rFonts w:hint="eastAsia" w:ascii="宋体" w:hAnsi="宋体" w:eastAsia="宋体"/>
              </w:rPr>
              <w:t>民政局</w:t>
            </w:r>
          </w:p>
        </w:tc>
        <w:tc>
          <w:tcPr>
            <w:tcW w:w="2410" w:type="dxa"/>
          </w:tcPr>
          <w:p>
            <w:pPr>
              <w:rPr>
                <w:rFonts w:ascii="宋体" w:hAnsi="宋体" w:eastAsia="宋体"/>
              </w:rPr>
            </w:pPr>
            <w:r>
              <w:rPr>
                <w:rFonts w:hint="eastAsia" w:ascii="宋体" w:hAnsi="宋体" w:eastAsia="宋体"/>
              </w:rPr>
              <w:t>1</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1</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9</w:t>
            </w:r>
          </w:p>
        </w:tc>
        <w:tc>
          <w:tcPr>
            <w:tcW w:w="2835" w:type="dxa"/>
          </w:tcPr>
          <w:p>
            <w:pPr>
              <w:rPr>
                <w:rFonts w:ascii="宋体" w:hAnsi="宋体" w:eastAsia="宋体"/>
              </w:rPr>
            </w:pPr>
            <w:r>
              <w:rPr>
                <w:rFonts w:hint="eastAsia" w:ascii="宋体" w:hAnsi="宋体" w:eastAsia="宋体"/>
              </w:rPr>
              <w:t>司法局</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0</w:t>
            </w:r>
          </w:p>
        </w:tc>
        <w:tc>
          <w:tcPr>
            <w:tcW w:w="2835" w:type="dxa"/>
          </w:tcPr>
          <w:p>
            <w:pPr>
              <w:rPr>
                <w:rFonts w:ascii="宋体" w:hAnsi="宋体" w:eastAsia="宋体"/>
              </w:rPr>
            </w:pPr>
            <w:r>
              <w:rPr>
                <w:rFonts w:hint="eastAsia" w:ascii="宋体" w:hAnsi="宋体" w:eastAsia="宋体"/>
              </w:rPr>
              <w:t>自然资源和规划局</w:t>
            </w:r>
          </w:p>
        </w:tc>
        <w:tc>
          <w:tcPr>
            <w:tcW w:w="2410" w:type="dxa"/>
          </w:tcPr>
          <w:p>
            <w:pPr>
              <w:rPr>
                <w:rFonts w:ascii="宋体" w:hAnsi="宋体" w:eastAsia="宋体"/>
              </w:rPr>
            </w:pPr>
            <w:r>
              <w:rPr>
                <w:rFonts w:hint="eastAsia" w:ascii="宋体" w:hAnsi="宋体" w:eastAsia="宋体"/>
              </w:rPr>
              <w:t>7</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1</w:t>
            </w:r>
          </w:p>
        </w:tc>
        <w:tc>
          <w:tcPr>
            <w:tcW w:w="2835" w:type="dxa"/>
          </w:tcPr>
          <w:p>
            <w:pPr>
              <w:rPr>
                <w:rFonts w:ascii="宋体" w:hAnsi="宋体" w:eastAsia="宋体"/>
              </w:rPr>
            </w:pPr>
            <w:r>
              <w:rPr>
                <w:rFonts w:hint="eastAsia" w:ascii="宋体" w:hAnsi="宋体" w:eastAsia="宋体"/>
              </w:rPr>
              <w:t>生态环境局</w:t>
            </w:r>
          </w:p>
        </w:tc>
        <w:tc>
          <w:tcPr>
            <w:tcW w:w="2410" w:type="dxa"/>
          </w:tcPr>
          <w:p>
            <w:pPr>
              <w:rPr>
                <w:rFonts w:ascii="宋体" w:hAnsi="宋体" w:eastAsia="宋体"/>
              </w:rPr>
            </w:pPr>
            <w:r>
              <w:rPr>
                <w:rFonts w:hint="eastAsia" w:ascii="宋体" w:hAnsi="宋体" w:eastAsia="宋体"/>
              </w:rPr>
              <w:t>8</w:t>
            </w:r>
            <w:r>
              <w:rPr>
                <w:rFonts w:ascii="宋体" w:hAnsi="宋体" w:eastAsia="宋体"/>
              </w:rPr>
              <w:t>8</w:t>
            </w:r>
          </w:p>
        </w:tc>
        <w:tc>
          <w:tcPr>
            <w:tcW w:w="2409" w:type="dxa"/>
          </w:tcPr>
          <w:p>
            <w:pPr>
              <w:rPr>
                <w:rFonts w:ascii="宋体" w:hAnsi="宋体" w:eastAsia="宋体"/>
              </w:rPr>
            </w:pPr>
            <w:r>
              <w:rPr>
                <w:rFonts w:hint="eastAsia" w:ascii="宋体" w:hAnsi="宋体"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2</w:t>
            </w:r>
          </w:p>
        </w:tc>
        <w:tc>
          <w:tcPr>
            <w:tcW w:w="2835" w:type="dxa"/>
          </w:tcPr>
          <w:p>
            <w:pPr>
              <w:rPr>
                <w:rFonts w:ascii="宋体" w:hAnsi="宋体" w:eastAsia="宋体"/>
              </w:rPr>
            </w:pPr>
            <w:r>
              <w:rPr>
                <w:rFonts w:hint="eastAsia" w:ascii="宋体" w:hAnsi="宋体" w:eastAsia="宋体"/>
              </w:rPr>
              <w:t>城乡建设局</w:t>
            </w:r>
          </w:p>
        </w:tc>
        <w:tc>
          <w:tcPr>
            <w:tcW w:w="2410" w:type="dxa"/>
          </w:tcPr>
          <w:p>
            <w:pPr>
              <w:rPr>
                <w:rFonts w:ascii="宋体" w:hAnsi="宋体" w:eastAsia="宋体"/>
              </w:rPr>
            </w:pPr>
            <w:r>
              <w:rPr>
                <w:rFonts w:hint="eastAsia" w:ascii="宋体" w:hAnsi="宋体" w:eastAsia="宋体"/>
              </w:rPr>
              <w:t>1</w:t>
            </w:r>
            <w:r>
              <w:rPr>
                <w:rFonts w:ascii="宋体" w:hAnsi="宋体" w:eastAsia="宋体"/>
              </w:rPr>
              <w:t>6</w:t>
            </w:r>
          </w:p>
        </w:tc>
        <w:tc>
          <w:tcPr>
            <w:tcW w:w="2409" w:type="dxa"/>
          </w:tcPr>
          <w:p>
            <w:pP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3</w:t>
            </w:r>
          </w:p>
        </w:tc>
        <w:tc>
          <w:tcPr>
            <w:tcW w:w="2835" w:type="dxa"/>
          </w:tcPr>
          <w:p>
            <w:pPr>
              <w:rPr>
                <w:rFonts w:ascii="宋体" w:hAnsi="宋体" w:eastAsia="宋体"/>
              </w:rPr>
            </w:pPr>
            <w:r>
              <w:rPr>
                <w:rFonts w:hint="eastAsia" w:ascii="宋体" w:hAnsi="宋体" w:eastAsia="宋体"/>
              </w:rPr>
              <w:t>城市管理执法委员会</w:t>
            </w:r>
          </w:p>
        </w:tc>
        <w:tc>
          <w:tcPr>
            <w:tcW w:w="2410" w:type="dxa"/>
          </w:tcPr>
          <w:p>
            <w:pPr>
              <w:rPr>
                <w:rFonts w:ascii="宋体" w:hAnsi="宋体" w:eastAsia="宋体"/>
              </w:rPr>
            </w:pPr>
            <w:r>
              <w:rPr>
                <w:rFonts w:hint="eastAsia" w:ascii="宋体" w:hAnsi="宋体" w:eastAsia="宋体"/>
              </w:rPr>
              <w:t>4</w:t>
            </w:r>
          </w:p>
        </w:tc>
        <w:tc>
          <w:tcPr>
            <w:tcW w:w="2409" w:type="dxa"/>
          </w:tcPr>
          <w:p>
            <w:pP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4</w:t>
            </w:r>
          </w:p>
        </w:tc>
        <w:tc>
          <w:tcPr>
            <w:tcW w:w="2835" w:type="dxa"/>
          </w:tcPr>
          <w:p>
            <w:pPr>
              <w:rPr>
                <w:rFonts w:ascii="宋体" w:hAnsi="宋体" w:eastAsia="宋体"/>
              </w:rPr>
            </w:pPr>
            <w:r>
              <w:rPr>
                <w:rFonts w:hint="eastAsia" w:ascii="宋体" w:hAnsi="宋体" w:eastAsia="宋体"/>
              </w:rPr>
              <w:t>交通运输局</w:t>
            </w:r>
          </w:p>
        </w:tc>
        <w:tc>
          <w:tcPr>
            <w:tcW w:w="2410" w:type="dxa"/>
          </w:tcPr>
          <w:p>
            <w:pPr>
              <w:rPr>
                <w:rFonts w:ascii="宋体" w:hAnsi="宋体" w:eastAsia="宋体"/>
              </w:rPr>
            </w:pPr>
            <w:r>
              <w:rPr>
                <w:rFonts w:hint="eastAsia" w:ascii="宋体" w:hAnsi="宋体" w:eastAsia="宋体"/>
              </w:rPr>
              <w:t>3</w:t>
            </w:r>
          </w:p>
        </w:tc>
        <w:tc>
          <w:tcPr>
            <w:tcW w:w="2409" w:type="dxa"/>
          </w:tcPr>
          <w:p>
            <w:pPr>
              <w:rPr>
                <w:rFonts w:ascii="宋体" w:hAnsi="宋体" w:eastAsia="宋体"/>
              </w:rPr>
            </w:pPr>
            <w:r>
              <w:rPr>
                <w:rFonts w:hint="eastAsia" w:ascii="宋体" w:hAnsi="宋体" w:eastAsia="宋体"/>
              </w:rPr>
              <w:t>1</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5</w:t>
            </w:r>
          </w:p>
        </w:tc>
        <w:tc>
          <w:tcPr>
            <w:tcW w:w="2835" w:type="dxa"/>
          </w:tcPr>
          <w:p>
            <w:pPr>
              <w:rPr>
                <w:rFonts w:ascii="宋体" w:hAnsi="宋体" w:eastAsia="宋体"/>
              </w:rPr>
            </w:pPr>
            <w:r>
              <w:rPr>
                <w:rFonts w:hint="eastAsia" w:ascii="宋体" w:hAnsi="宋体" w:eastAsia="宋体"/>
              </w:rPr>
              <w:t>水务局</w:t>
            </w:r>
          </w:p>
        </w:tc>
        <w:tc>
          <w:tcPr>
            <w:tcW w:w="2410" w:type="dxa"/>
          </w:tcPr>
          <w:p>
            <w:pPr>
              <w:rPr>
                <w:rFonts w:ascii="宋体" w:hAnsi="宋体" w:eastAsia="宋体"/>
              </w:rPr>
            </w:pPr>
            <w:r>
              <w:rPr>
                <w:rFonts w:hint="eastAsia" w:ascii="宋体" w:hAnsi="宋体" w:eastAsia="宋体"/>
              </w:rPr>
              <w:t>4</w:t>
            </w:r>
          </w:p>
        </w:tc>
        <w:tc>
          <w:tcPr>
            <w:tcW w:w="2409" w:type="dxa"/>
          </w:tcPr>
          <w:p>
            <w:pP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6</w:t>
            </w:r>
          </w:p>
        </w:tc>
        <w:tc>
          <w:tcPr>
            <w:tcW w:w="2835" w:type="dxa"/>
          </w:tcPr>
          <w:p>
            <w:pPr>
              <w:rPr>
                <w:rFonts w:ascii="宋体" w:hAnsi="宋体" w:eastAsia="宋体"/>
              </w:rPr>
            </w:pPr>
            <w:r>
              <w:rPr>
                <w:rFonts w:hint="eastAsia" w:ascii="宋体" w:hAnsi="宋体" w:eastAsia="宋体"/>
              </w:rPr>
              <w:t>农业农村局</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7</w:t>
            </w:r>
          </w:p>
        </w:tc>
        <w:tc>
          <w:tcPr>
            <w:tcW w:w="2835" w:type="dxa"/>
          </w:tcPr>
          <w:p>
            <w:pPr>
              <w:rPr>
                <w:rFonts w:ascii="宋体" w:hAnsi="宋体" w:eastAsia="宋体"/>
              </w:rPr>
            </w:pPr>
            <w:r>
              <w:rPr>
                <w:rFonts w:hint="eastAsia" w:ascii="宋体" w:hAnsi="宋体" w:eastAsia="宋体"/>
              </w:rPr>
              <w:t>文化和旅游局</w:t>
            </w:r>
          </w:p>
        </w:tc>
        <w:tc>
          <w:tcPr>
            <w:tcW w:w="2410" w:type="dxa"/>
          </w:tcPr>
          <w:p>
            <w:pPr>
              <w:rPr>
                <w:rFonts w:ascii="宋体" w:hAnsi="宋体" w:eastAsia="宋体"/>
              </w:rPr>
            </w:pPr>
            <w:r>
              <w:rPr>
                <w:rFonts w:hint="eastAsia" w:ascii="宋体" w:hAnsi="宋体" w:eastAsia="宋体"/>
              </w:rPr>
              <w:t>2</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8</w:t>
            </w:r>
          </w:p>
        </w:tc>
        <w:tc>
          <w:tcPr>
            <w:tcW w:w="2835" w:type="dxa"/>
          </w:tcPr>
          <w:p>
            <w:pPr>
              <w:rPr>
                <w:rFonts w:ascii="宋体" w:hAnsi="宋体" w:eastAsia="宋体"/>
              </w:rPr>
            </w:pPr>
            <w:r>
              <w:rPr>
                <w:rFonts w:hint="eastAsia" w:ascii="宋体" w:hAnsi="宋体" w:eastAsia="宋体"/>
              </w:rPr>
              <w:t>卫生健康委</w:t>
            </w:r>
          </w:p>
        </w:tc>
        <w:tc>
          <w:tcPr>
            <w:tcW w:w="2410" w:type="dxa"/>
          </w:tcPr>
          <w:p>
            <w:pPr>
              <w:rPr>
                <w:rFonts w:ascii="宋体" w:hAnsi="宋体" w:eastAsia="宋体"/>
              </w:rPr>
            </w:pPr>
            <w:r>
              <w:rPr>
                <w:rFonts w:hint="eastAsia" w:ascii="宋体" w:hAnsi="宋体" w:eastAsia="宋体"/>
              </w:rPr>
              <w:t>8</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1</w:t>
            </w:r>
            <w:r>
              <w:rPr>
                <w:rFonts w:ascii="宋体" w:hAnsi="宋体" w:eastAsia="宋体"/>
              </w:rPr>
              <w:t>9</w:t>
            </w:r>
          </w:p>
        </w:tc>
        <w:tc>
          <w:tcPr>
            <w:tcW w:w="2835" w:type="dxa"/>
          </w:tcPr>
          <w:p>
            <w:pPr>
              <w:rPr>
                <w:rFonts w:ascii="宋体" w:hAnsi="宋体" w:eastAsia="宋体"/>
              </w:rPr>
            </w:pPr>
            <w:r>
              <w:rPr>
                <w:rFonts w:hint="eastAsia" w:ascii="宋体" w:hAnsi="宋体" w:eastAsia="宋体"/>
              </w:rPr>
              <w:t>国资委</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0</w:t>
            </w:r>
          </w:p>
        </w:tc>
        <w:tc>
          <w:tcPr>
            <w:tcW w:w="2835" w:type="dxa"/>
          </w:tcPr>
          <w:p>
            <w:pPr>
              <w:rPr>
                <w:rFonts w:ascii="宋体" w:hAnsi="宋体" w:eastAsia="宋体"/>
              </w:rPr>
            </w:pPr>
            <w:r>
              <w:rPr>
                <w:rFonts w:hint="eastAsia" w:ascii="宋体" w:hAnsi="宋体" w:eastAsia="宋体"/>
              </w:rPr>
              <w:t>住房保障房管局</w:t>
            </w:r>
          </w:p>
        </w:tc>
        <w:tc>
          <w:tcPr>
            <w:tcW w:w="2410" w:type="dxa"/>
          </w:tcPr>
          <w:p>
            <w:pPr>
              <w:rPr>
                <w:rFonts w:ascii="宋体" w:hAnsi="宋体" w:eastAsia="宋体"/>
              </w:rPr>
            </w:pPr>
            <w:r>
              <w:rPr>
                <w:rFonts w:hint="eastAsia" w:ascii="宋体" w:hAnsi="宋体" w:eastAsia="宋体"/>
              </w:rPr>
              <w:t>1</w:t>
            </w:r>
            <w:r>
              <w:rPr>
                <w:rFonts w:ascii="宋体" w:hAnsi="宋体" w:eastAsia="宋体"/>
              </w:rPr>
              <w:t>0</w:t>
            </w:r>
          </w:p>
        </w:tc>
        <w:tc>
          <w:tcPr>
            <w:tcW w:w="2409" w:type="dxa"/>
          </w:tcPr>
          <w:p>
            <w:pPr>
              <w:rPr>
                <w:rFonts w:ascii="宋体" w:hAnsi="宋体" w:eastAsia="宋体"/>
              </w:rPr>
            </w:pPr>
            <w:r>
              <w:rPr>
                <w:rFonts w:hint="eastAsia" w:ascii="宋体" w:hAnsi="宋体" w:eastAsia="宋体"/>
              </w:rPr>
              <w:t>1</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1</w:t>
            </w:r>
          </w:p>
        </w:tc>
        <w:tc>
          <w:tcPr>
            <w:tcW w:w="2835" w:type="dxa"/>
          </w:tcPr>
          <w:p>
            <w:pPr>
              <w:rPr>
                <w:rFonts w:ascii="宋体" w:hAnsi="宋体" w:eastAsia="宋体"/>
              </w:rPr>
            </w:pPr>
            <w:r>
              <w:rPr>
                <w:rFonts w:hint="eastAsia" w:ascii="宋体" w:hAnsi="宋体" w:eastAsia="宋体"/>
              </w:rPr>
              <w:t>医疗保障局</w:t>
            </w:r>
          </w:p>
        </w:tc>
        <w:tc>
          <w:tcPr>
            <w:tcW w:w="2410" w:type="dxa"/>
          </w:tcPr>
          <w:p>
            <w:pPr>
              <w:rPr>
                <w:rFonts w:ascii="宋体" w:hAnsi="宋体" w:eastAsia="宋体"/>
              </w:rPr>
            </w:pPr>
            <w:r>
              <w:rPr>
                <w:rFonts w:hint="eastAsia" w:ascii="宋体" w:hAnsi="宋体" w:eastAsia="宋体"/>
              </w:rPr>
              <w:t>3</w:t>
            </w:r>
            <w:r>
              <w:rPr>
                <w:rFonts w:ascii="宋体" w:hAnsi="宋体" w:eastAsia="宋体"/>
              </w:rPr>
              <w:t>4</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2</w:t>
            </w:r>
          </w:p>
        </w:tc>
        <w:tc>
          <w:tcPr>
            <w:tcW w:w="2835" w:type="dxa"/>
          </w:tcPr>
          <w:p>
            <w:pPr>
              <w:rPr>
                <w:rFonts w:ascii="宋体" w:hAnsi="宋体" w:eastAsia="宋体"/>
              </w:rPr>
            </w:pPr>
            <w:r>
              <w:rPr>
                <w:rFonts w:hint="eastAsia" w:ascii="宋体" w:hAnsi="宋体" w:eastAsia="宋体"/>
              </w:rPr>
              <w:t>地方金融工作局</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3</w:t>
            </w:r>
          </w:p>
        </w:tc>
        <w:tc>
          <w:tcPr>
            <w:tcW w:w="2835" w:type="dxa"/>
          </w:tcPr>
          <w:p>
            <w:pPr>
              <w:rPr>
                <w:rFonts w:ascii="宋体" w:hAnsi="宋体" w:eastAsia="宋体"/>
              </w:rPr>
            </w:pPr>
            <w:r>
              <w:rPr>
                <w:rFonts w:hint="eastAsia" w:ascii="宋体" w:hAnsi="宋体" w:eastAsia="宋体"/>
              </w:rPr>
              <w:t>政务服务数据管理局</w:t>
            </w:r>
          </w:p>
        </w:tc>
        <w:tc>
          <w:tcPr>
            <w:tcW w:w="2410" w:type="dxa"/>
          </w:tcPr>
          <w:p>
            <w:pPr>
              <w:rPr>
                <w:rFonts w:ascii="宋体" w:hAnsi="宋体" w:eastAsia="宋体"/>
              </w:rPr>
            </w:pPr>
            <w:r>
              <w:rPr>
                <w:rFonts w:hint="eastAsia" w:ascii="宋体" w:hAnsi="宋体" w:eastAsia="宋体"/>
              </w:rPr>
              <w:t>1</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4</w:t>
            </w:r>
          </w:p>
        </w:tc>
        <w:tc>
          <w:tcPr>
            <w:tcW w:w="2835" w:type="dxa"/>
          </w:tcPr>
          <w:p>
            <w:pPr>
              <w:rPr>
                <w:rFonts w:ascii="宋体" w:hAnsi="宋体" w:eastAsia="宋体"/>
              </w:rPr>
            </w:pPr>
            <w:r>
              <w:rPr>
                <w:rFonts w:hint="eastAsia" w:ascii="宋体" w:hAnsi="宋体" w:eastAsia="宋体"/>
              </w:rPr>
              <w:t>税务局</w:t>
            </w:r>
          </w:p>
        </w:tc>
        <w:tc>
          <w:tcPr>
            <w:tcW w:w="2410" w:type="dxa"/>
          </w:tcPr>
          <w:p>
            <w:pPr>
              <w:rPr>
                <w:rFonts w:ascii="宋体" w:hAnsi="宋体" w:eastAsia="宋体"/>
              </w:rPr>
            </w:pPr>
            <w:r>
              <w:rPr>
                <w:rFonts w:hint="eastAsia" w:ascii="宋体" w:hAnsi="宋体" w:eastAsia="宋体"/>
              </w:rPr>
              <w:t>2</w:t>
            </w:r>
          </w:p>
        </w:tc>
        <w:tc>
          <w:tcPr>
            <w:tcW w:w="2409" w:type="dxa"/>
          </w:tcPr>
          <w:p>
            <w:pP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5</w:t>
            </w:r>
          </w:p>
        </w:tc>
        <w:tc>
          <w:tcPr>
            <w:tcW w:w="2835" w:type="dxa"/>
          </w:tcPr>
          <w:p>
            <w:pPr>
              <w:rPr>
                <w:rFonts w:ascii="宋体" w:hAnsi="宋体" w:eastAsia="宋体"/>
              </w:rPr>
            </w:pPr>
            <w:r>
              <w:rPr>
                <w:rFonts w:hint="eastAsia" w:ascii="宋体" w:hAnsi="宋体" w:eastAsia="宋体"/>
              </w:rPr>
              <w:t>人民银行武汉分行</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6</w:t>
            </w:r>
          </w:p>
        </w:tc>
        <w:tc>
          <w:tcPr>
            <w:tcW w:w="2835" w:type="dxa"/>
          </w:tcPr>
          <w:p>
            <w:pPr>
              <w:rPr>
                <w:rFonts w:ascii="宋体" w:hAnsi="宋体" w:eastAsia="宋体"/>
              </w:rPr>
            </w:pPr>
            <w:r>
              <w:rPr>
                <w:rFonts w:hint="eastAsia" w:ascii="宋体" w:hAnsi="宋体" w:eastAsia="宋体"/>
              </w:rPr>
              <w:t>东湖生态旅游风景区</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7</w:t>
            </w:r>
          </w:p>
        </w:tc>
        <w:tc>
          <w:tcPr>
            <w:tcW w:w="2835" w:type="dxa"/>
          </w:tcPr>
          <w:p>
            <w:pPr>
              <w:rPr>
                <w:rFonts w:ascii="宋体" w:hAnsi="宋体" w:eastAsia="宋体"/>
              </w:rPr>
            </w:pPr>
            <w:r>
              <w:rPr>
                <w:rFonts w:hint="eastAsia" w:ascii="宋体" w:hAnsi="宋体" w:eastAsia="宋体"/>
              </w:rPr>
              <w:t>蔡甸区政府</w:t>
            </w:r>
          </w:p>
        </w:tc>
        <w:tc>
          <w:tcPr>
            <w:tcW w:w="2410" w:type="dxa"/>
          </w:tcPr>
          <w:p>
            <w:pPr>
              <w:rPr>
                <w:rFonts w:ascii="宋体" w:hAnsi="宋体" w:eastAsia="宋体"/>
              </w:rPr>
            </w:pPr>
            <w:r>
              <w:rPr>
                <w:rFonts w:hint="eastAsia" w:ascii="宋体" w:hAnsi="宋体" w:eastAsia="宋体"/>
              </w:rPr>
              <w:t>3</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3</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8</w:t>
            </w:r>
          </w:p>
        </w:tc>
        <w:tc>
          <w:tcPr>
            <w:tcW w:w="2835" w:type="dxa"/>
          </w:tcPr>
          <w:p>
            <w:pPr>
              <w:rPr>
                <w:rFonts w:ascii="宋体" w:hAnsi="宋体" w:eastAsia="宋体"/>
              </w:rPr>
            </w:pPr>
            <w:r>
              <w:rPr>
                <w:rFonts w:hint="eastAsia" w:ascii="宋体" w:hAnsi="宋体" w:eastAsia="宋体"/>
              </w:rPr>
              <w:t>武昌区政府</w:t>
            </w:r>
          </w:p>
        </w:tc>
        <w:tc>
          <w:tcPr>
            <w:tcW w:w="2410" w:type="dxa"/>
          </w:tcPr>
          <w:p>
            <w:pPr>
              <w:rPr>
                <w:rFonts w:ascii="宋体" w:hAnsi="宋体" w:eastAsia="宋体"/>
              </w:rPr>
            </w:pPr>
            <w:r>
              <w:rPr>
                <w:rFonts w:hint="eastAsia" w:ascii="宋体" w:hAnsi="宋体" w:eastAsia="宋体"/>
              </w:rPr>
              <w:t>1</w:t>
            </w:r>
            <w:r>
              <w:rPr>
                <w:rFonts w:ascii="宋体" w:hAnsi="宋体" w:eastAsia="宋体"/>
              </w:rPr>
              <w:t>0</w:t>
            </w:r>
          </w:p>
        </w:tc>
        <w:tc>
          <w:tcPr>
            <w:tcW w:w="2409" w:type="dxa"/>
          </w:tcPr>
          <w:p>
            <w:pPr>
              <w:rPr>
                <w:rFonts w:ascii="宋体" w:hAnsi="宋体" w:eastAsia="宋体"/>
              </w:rPr>
            </w:pPr>
            <w:r>
              <w:rPr>
                <w:rFonts w:hint="eastAsia" w:ascii="宋体" w:hAnsi="宋体" w:eastAsia="宋体"/>
              </w:rPr>
              <w:t>1</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2</w:t>
            </w:r>
            <w:r>
              <w:rPr>
                <w:rFonts w:ascii="宋体" w:hAnsi="宋体" w:eastAsia="宋体"/>
              </w:rPr>
              <w:t>9</w:t>
            </w:r>
          </w:p>
        </w:tc>
        <w:tc>
          <w:tcPr>
            <w:tcW w:w="2835" w:type="dxa"/>
          </w:tcPr>
          <w:p>
            <w:pPr>
              <w:rPr>
                <w:rFonts w:ascii="宋体" w:hAnsi="宋体" w:eastAsia="宋体"/>
              </w:rPr>
            </w:pPr>
            <w:r>
              <w:rPr>
                <w:rFonts w:hint="eastAsia" w:ascii="宋体" w:hAnsi="宋体" w:eastAsia="宋体"/>
              </w:rPr>
              <w:t>青山区政府</w:t>
            </w:r>
          </w:p>
        </w:tc>
        <w:tc>
          <w:tcPr>
            <w:tcW w:w="2410" w:type="dxa"/>
          </w:tcPr>
          <w:p>
            <w:pPr>
              <w:rPr>
                <w:rFonts w:ascii="宋体" w:hAnsi="宋体" w:eastAsia="宋体"/>
              </w:rPr>
            </w:pPr>
            <w:r>
              <w:rPr>
                <w:rFonts w:hint="eastAsia" w:ascii="宋体" w:hAnsi="宋体" w:eastAsia="宋体"/>
              </w:rPr>
              <w:t>9</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9</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0</w:t>
            </w:r>
          </w:p>
        </w:tc>
        <w:tc>
          <w:tcPr>
            <w:tcW w:w="2835" w:type="dxa"/>
          </w:tcPr>
          <w:p>
            <w:pPr>
              <w:rPr>
                <w:rFonts w:ascii="宋体" w:hAnsi="宋体" w:eastAsia="宋体"/>
              </w:rPr>
            </w:pPr>
            <w:r>
              <w:rPr>
                <w:rFonts w:hint="eastAsia" w:ascii="宋体" w:hAnsi="宋体" w:eastAsia="宋体"/>
              </w:rPr>
              <w:t>东湖开发区管委会</w:t>
            </w:r>
          </w:p>
        </w:tc>
        <w:tc>
          <w:tcPr>
            <w:tcW w:w="2410" w:type="dxa"/>
          </w:tcPr>
          <w:p>
            <w:pPr>
              <w:rPr>
                <w:rFonts w:ascii="宋体" w:hAnsi="宋体" w:eastAsia="宋体"/>
              </w:rPr>
            </w:pPr>
            <w:r>
              <w:rPr>
                <w:rFonts w:hint="eastAsia" w:ascii="宋体" w:hAnsi="宋体" w:eastAsia="宋体"/>
              </w:rPr>
              <w:t>9</w:t>
            </w:r>
          </w:p>
        </w:tc>
        <w:tc>
          <w:tcPr>
            <w:tcW w:w="2409" w:type="dxa"/>
          </w:tcPr>
          <w:p>
            <w:pPr>
              <w:rPr>
                <w:rFonts w:ascii="宋体" w:hAnsi="宋体" w:eastAsia="宋体"/>
              </w:rPr>
            </w:pPr>
            <w:r>
              <w:rPr>
                <w:rFonts w:hint="eastAsia" w:ascii="宋体" w:hAnsi="宋体"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1</w:t>
            </w:r>
          </w:p>
        </w:tc>
        <w:tc>
          <w:tcPr>
            <w:tcW w:w="2835" w:type="dxa"/>
          </w:tcPr>
          <w:p>
            <w:pPr>
              <w:rPr>
                <w:rFonts w:ascii="宋体" w:hAnsi="宋体" w:eastAsia="宋体"/>
              </w:rPr>
            </w:pPr>
            <w:r>
              <w:rPr>
                <w:rFonts w:hint="eastAsia" w:ascii="宋体" w:hAnsi="宋体" w:eastAsia="宋体"/>
              </w:rPr>
              <w:t>新洲区政府</w:t>
            </w:r>
          </w:p>
        </w:tc>
        <w:tc>
          <w:tcPr>
            <w:tcW w:w="2410" w:type="dxa"/>
          </w:tcPr>
          <w:p>
            <w:pPr>
              <w:rPr>
                <w:rFonts w:ascii="宋体" w:hAnsi="宋体" w:eastAsia="宋体"/>
              </w:rPr>
            </w:pPr>
            <w:r>
              <w:rPr>
                <w:rFonts w:hint="eastAsia" w:ascii="宋体" w:hAnsi="宋体" w:eastAsia="宋体"/>
              </w:rPr>
              <w:t>1</w:t>
            </w:r>
            <w:r>
              <w:rPr>
                <w:rFonts w:ascii="宋体" w:hAnsi="宋体" w:eastAsia="宋体"/>
              </w:rPr>
              <w:t>04</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2</w:t>
            </w:r>
          </w:p>
        </w:tc>
        <w:tc>
          <w:tcPr>
            <w:tcW w:w="2835" w:type="dxa"/>
          </w:tcPr>
          <w:p>
            <w:pPr>
              <w:rPr>
                <w:rFonts w:ascii="宋体" w:hAnsi="宋体" w:eastAsia="宋体"/>
              </w:rPr>
            </w:pPr>
            <w:r>
              <w:rPr>
                <w:rFonts w:hint="eastAsia" w:ascii="宋体" w:hAnsi="宋体" w:eastAsia="宋体"/>
              </w:rPr>
              <w:t>硚口区政府</w:t>
            </w:r>
          </w:p>
        </w:tc>
        <w:tc>
          <w:tcPr>
            <w:tcW w:w="2410" w:type="dxa"/>
          </w:tcPr>
          <w:p>
            <w:pPr>
              <w:rPr>
                <w:rFonts w:ascii="宋体" w:hAnsi="宋体" w:eastAsia="宋体"/>
              </w:rPr>
            </w:pPr>
            <w:r>
              <w:rPr>
                <w:rFonts w:hint="eastAsia" w:ascii="宋体" w:hAnsi="宋体" w:eastAsia="宋体"/>
              </w:rPr>
              <w:t>1</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3</w:t>
            </w:r>
          </w:p>
        </w:tc>
        <w:tc>
          <w:tcPr>
            <w:tcW w:w="2835" w:type="dxa"/>
          </w:tcPr>
          <w:p>
            <w:pPr>
              <w:rPr>
                <w:rFonts w:ascii="宋体" w:hAnsi="宋体" w:eastAsia="宋体"/>
              </w:rPr>
            </w:pPr>
            <w:r>
              <w:rPr>
                <w:rFonts w:hint="eastAsia" w:ascii="宋体" w:hAnsi="宋体" w:eastAsia="宋体"/>
              </w:rPr>
              <w:t>江汉区政府</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4</w:t>
            </w:r>
          </w:p>
        </w:tc>
        <w:tc>
          <w:tcPr>
            <w:tcW w:w="2835" w:type="dxa"/>
          </w:tcPr>
          <w:p>
            <w:pPr>
              <w:rPr>
                <w:rFonts w:ascii="宋体" w:hAnsi="宋体" w:eastAsia="宋体"/>
              </w:rPr>
            </w:pPr>
            <w:r>
              <w:rPr>
                <w:rFonts w:hint="eastAsia" w:ascii="宋体" w:hAnsi="宋体" w:eastAsia="宋体"/>
              </w:rPr>
              <w:t>东西湖区政府（临空港开发区管委会）</w:t>
            </w:r>
          </w:p>
        </w:tc>
        <w:tc>
          <w:tcPr>
            <w:tcW w:w="2410" w:type="dxa"/>
          </w:tcPr>
          <w:p>
            <w:pPr>
              <w:rPr>
                <w:rFonts w:ascii="宋体" w:hAnsi="宋体" w:eastAsia="宋体"/>
              </w:rPr>
            </w:pPr>
            <w:r>
              <w:rPr>
                <w:rFonts w:hint="eastAsia" w:ascii="宋体" w:hAnsi="宋体" w:eastAsia="宋体"/>
              </w:rPr>
              <w:t>1</w:t>
            </w:r>
            <w:r>
              <w:rPr>
                <w:rFonts w:ascii="宋体" w:hAnsi="宋体" w:eastAsia="宋体"/>
              </w:rPr>
              <w:t>1</w:t>
            </w:r>
          </w:p>
        </w:tc>
        <w:tc>
          <w:tcPr>
            <w:tcW w:w="2409" w:type="dxa"/>
          </w:tcPr>
          <w:p>
            <w:pP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5</w:t>
            </w:r>
          </w:p>
        </w:tc>
        <w:tc>
          <w:tcPr>
            <w:tcW w:w="2835" w:type="dxa"/>
          </w:tcPr>
          <w:p>
            <w:pPr>
              <w:rPr>
                <w:rFonts w:ascii="宋体" w:hAnsi="宋体" w:eastAsia="宋体"/>
              </w:rPr>
            </w:pPr>
            <w:r>
              <w:rPr>
                <w:rFonts w:hint="eastAsia" w:ascii="宋体" w:hAnsi="宋体" w:eastAsia="宋体"/>
              </w:rPr>
              <w:t>汉阳区政府</w:t>
            </w:r>
          </w:p>
        </w:tc>
        <w:tc>
          <w:tcPr>
            <w:tcW w:w="2410" w:type="dxa"/>
          </w:tcPr>
          <w:p>
            <w:pPr>
              <w:rPr>
                <w:rFonts w:ascii="宋体" w:hAnsi="宋体" w:eastAsia="宋体"/>
              </w:rPr>
            </w:pPr>
            <w:r>
              <w:rPr>
                <w:rFonts w:hint="eastAsia" w:ascii="宋体" w:hAnsi="宋体" w:eastAsia="宋体"/>
              </w:rPr>
              <w:t>1</w:t>
            </w:r>
          </w:p>
        </w:tc>
        <w:tc>
          <w:tcPr>
            <w:tcW w:w="2409" w:type="dxa"/>
          </w:tcPr>
          <w:p>
            <w:pPr>
              <w:rPr>
                <w:rFonts w:ascii="宋体" w:hAnsi="宋体" w:eastAsia="宋体"/>
              </w:rPr>
            </w:pPr>
            <w:r>
              <w:rPr>
                <w:rFonts w:hint="eastAsia"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6</w:t>
            </w:r>
          </w:p>
        </w:tc>
        <w:tc>
          <w:tcPr>
            <w:tcW w:w="2835" w:type="dxa"/>
          </w:tcPr>
          <w:p>
            <w:pPr>
              <w:rPr>
                <w:rFonts w:ascii="宋体" w:hAnsi="宋体" w:eastAsia="宋体"/>
              </w:rPr>
            </w:pPr>
            <w:r>
              <w:rPr>
                <w:rFonts w:hint="eastAsia" w:ascii="宋体" w:hAnsi="宋体" w:eastAsia="宋体"/>
              </w:rPr>
              <w:t>江岸区政府</w:t>
            </w:r>
          </w:p>
        </w:tc>
        <w:tc>
          <w:tcPr>
            <w:tcW w:w="2410" w:type="dxa"/>
          </w:tcPr>
          <w:p>
            <w:pPr>
              <w:rPr>
                <w:rFonts w:ascii="宋体" w:hAnsi="宋体" w:eastAsia="宋体"/>
              </w:rPr>
            </w:pPr>
            <w:r>
              <w:rPr>
                <w:rFonts w:hint="eastAsia" w:ascii="宋体" w:hAnsi="宋体" w:eastAsia="宋体"/>
              </w:rPr>
              <w:t>7</w:t>
            </w:r>
          </w:p>
        </w:tc>
        <w:tc>
          <w:tcPr>
            <w:tcW w:w="2409" w:type="dxa"/>
          </w:tcPr>
          <w:p>
            <w:pPr>
              <w:rPr>
                <w:rFonts w:ascii="宋体" w:hAnsi="宋体" w:eastAsia="宋体"/>
              </w:rPr>
            </w:pPr>
            <w:r>
              <w:rPr>
                <w:rFonts w:hint="eastAsia" w:ascii="宋体" w:hAnsi="宋体" w:eastAsia="宋体"/>
              </w:rPr>
              <w:t>1</w:t>
            </w:r>
            <w:r>
              <w:rPr>
                <w:rFonts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7</w:t>
            </w:r>
          </w:p>
        </w:tc>
        <w:tc>
          <w:tcPr>
            <w:tcW w:w="2835" w:type="dxa"/>
          </w:tcPr>
          <w:p>
            <w:pPr>
              <w:rPr>
                <w:rFonts w:ascii="宋体" w:hAnsi="宋体" w:eastAsia="宋体"/>
              </w:rPr>
            </w:pPr>
            <w:r>
              <w:rPr>
                <w:rFonts w:hint="eastAsia" w:ascii="宋体" w:hAnsi="宋体" w:eastAsia="宋体"/>
              </w:rPr>
              <w:t>经开区管委会（汉南区政府）</w:t>
            </w:r>
          </w:p>
        </w:tc>
        <w:tc>
          <w:tcPr>
            <w:tcW w:w="2410" w:type="dxa"/>
          </w:tcPr>
          <w:p>
            <w:pPr>
              <w:rPr>
                <w:rFonts w:ascii="宋体" w:hAnsi="宋体" w:eastAsia="宋体"/>
              </w:rPr>
            </w:pPr>
            <w:r>
              <w:rPr>
                <w:rFonts w:hint="eastAsia" w:ascii="宋体" w:hAnsi="宋体" w:eastAsia="宋体"/>
              </w:rPr>
              <w:t>1</w:t>
            </w:r>
            <w:r>
              <w:rPr>
                <w:rFonts w:ascii="宋体" w:hAnsi="宋体" w:eastAsia="宋体"/>
              </w:rPr>
              <w:t>1</w:t>
            </w:r>
          </w:p>
        </w:tc>
        <w:tc>
          <w:tcPr>
            <w:tcW w:w="2409" w:type="dxa"/>
          </w:tcPr>
          <w:p>
            <w:pPr>
              <w:rPr>
                <w:rFonts w:ascii="宋体" w:hAnsi="宋体" w:eastAsia="宋体"/>
              </w:rPr>
            </w:pPr>
            <w:r>
              <w:rPr>
                <w:rFonts w:hint="eastAsia" w:ascii="宋体" w:hAnsi="宋体" w:eastAsia="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8</w:t>
            </w:r>
          </w:p>
        </w:tc>
        <w:tc>
          <w:tcPr>
            <w:tcW w:w="2835" w:type="dxa"/>
          </w:tcPr>
          <w:p>
            <w:pPr>
              <w:rPr>
                <w:rFonts w:ascii="宋体" w:hAnsi="宋体" w:eastAsia="宋体"/>
              </w:rPr>
            </w:pPr>
            <w:r>
              <w:rPr>
                <w:rFonts w:hint="eastAsia" w:ascii="宋体" w:hAnsi="宋体" w:eastAsia="宋体"/>
              </w:rPr>
              <w:t>洪山区政府</w:t>
            </w:r>
          </w:p>
        </w:tc>
        <w:tc>
          <w:tcPr>
            <w:tcW w:w="2410" w:type="dxa"/>
          </w:tcPr>
          <w:p>
            <w:pPr>
              <w:rPr>
                <w:rFonts w:ascii="宋体" w:hAnsi="宋体" w:eastAsia="宋体"/>
              </w:rPr>
            </w:pPr>
            <w:r>
              <w:rPr>
                <w:rFonts w:hint="eastAsia" w:ascii="宋体" w:hAnsi="宋体" w:eastAsia="宋体"/>
              </w:rPr>
              <w:t>5</w:t>
            </w:r>
          </w:p>
        </w:tc>
        <w:tc>
          <w:tcPr>
            <w:tcW w:w="2409" w:type="dxa"/>
          </w:tcPr>
          <w:p>
            <w:pPr>
              <w:rPr>
                <w:rFonts w:ascii="宋体" w:hAnsi="宋体" w:eastAsia="宋体"/>
              </w:rPr>
            </w:pPr>
            <w:r>
              <w:rPr>
                <w:rFonts w:hint="eastAsia" w:ascii="宋体" w:hAnsi="宋体"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3</w:t>
            </w:r>
            <w:r>
              <w:rPr>
                <w:rFonts w:ascii="宋体" w:hAnsi="宋体" w:eastAsia="宋体"/>
              </w:rPr>
              <w:t>9</w:t>
            </w:r>
          </w:p>
        </w:tc>
        <w:tc>
          <w:tcPr>
            <w:tcW w:w="2835" w:type="dxa"/>
          </w:tcPr>
          <w:p>
            <w:pPr>
              <w:rPr>
                <w:rFonts w:ascii="宋体" w:hAnsi="宋体" w:eastAsia="宋体"/>
              </w:rPr>
            </w:pPr>
            <w:r>
              <w:rPr>
                <w:rFonts w:hint="eastAsia" w:ascii="宋体" w:hAnsi="宋体" w:eastAsia="宋体"/>
              </w:rPr>
              <w:t>黄陂区政府</w:t>
            </w:r>
          </w:p>
        </w:tc>
        <w:tc>
          <w:tcPr>
            <w:tcW w:w="2410" w:type="dxa"/>
          </w:tcPr>
          <w:p>
            <w:pPr>
              <w:rPr>
                <w:rFonts w:ascii="宋体" w:hAnsi="宋体" w:eastAsia="宋体"/>
              </w:rPr>
            </w:pPr>
            <w:r>
              <w:rPr>
                <w:rFonts w:hint="eastAsia" w:ascii="宋体" w:hAnsi="宋体" w:eastAsia="宋体"/>
              </w:rPr>
              <w:t>7</w:t>
            </w:r>
          </w:p>
        </w:tc>
        <w:tc>
          <w:tcPr>
            <w:tcW w:w="2409" w:type="dxa"/>
          </w:tcPr>
          <w:p>
            <w:pPr>
              <w:rPr>
                <w:rFonts w:ascii="宋体" w:hAnsi="宋体" w:eastAsia="宋体"/>
              </w:rPr>
            </w:pPr>
            <w:r>
              <w:rPr>
                <w:rFonts w:hint="eastAsia"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4</w:t>
            </w:r>
            <w:r>
              <w:rPr>
                <w:rFonts w:ascii="宋体" w:hAnsi="宋体" w:eastAsia="宋体"/>
              </w:rPr>
              <w:t>0</w:t>
            </w:r>
          </w:p>
        </w:tc>
        <w:tc>
          <w:tcPr>
            <w:tcW w:w="2835" w:type="dxa"/>
          </w:tcPr>
          <w:p>
            <w:pPr>
              <w:rPr>
                <w:rFonts w:ascii="宋体" w:hAnsi="宋体" w:eastAsia="宋体"/>
              </w:rPr>
            </w:pPr>
            <w:r>
              <w:rPr>
                <w:rFonts w:hint="eastAsia" w:ascii="宋体" w:hAnsi="宋体" w:eastAsia="宋体"/>
              </w:rPr>
              <w:t>江夏区政府</w:t>
            </w:r>
          </w:p>
        </w:tc>
        <w:tc>
          <w:tcPr>
            <w:tcW w:w="2410" w:type="dxa"/>
          </w:tcPr>
          <w:p>
            <w:pPr>
              <w:rPr>
                <w:rFonts w:ascii="宋体" w:hAnsi="宋体" w:eastAsia="宋体"/>
              </w:rPr>
            </w:pPr>
            <w:r>
              <w:rPr>
                <w:rFonts w:hint="eastAsia" w:ascii="宋体" w:hAnsi="宋体" w:eastAsia="宋体"/>
              </w:rPr>
              <w:t>0</w:t>
            </w:r>
            <w:r>
              <w:rPr>
                <w:rFonts w:ascii="宋体" w:hAnsi="宋体" w:eastAsia="宋体"/>
              </w:rPr>
              <w:t xml:space="preserve"> </w:t>
            </w:r>
          </w:p>
        </w:tc>
        <w:tc>
          <w:tcPr>
            <w:tcW w:w="2409" w:type="dxa"/>
          </w:tcPr>
          <w:p>
            <w:pPr>
              <w:rPr>
                <w:rFonts w:ascii="宋体" w:hAnsi="宋体" w:eastAsia="宋体"/>
              </w:rPr>
            </w:pPr>
            <w:r>
              <w:rPr>
                <w:rFonts w:hint="eastAsia"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ascii="宋体" w:hAnsi="宋体" w:eastAsia="宋体"/>
              </w:rPr>
            </w:pPr>
            <w:r>
              <w:rPr>
                <w:rFonts w:hint="eastAsia" w:ascii="宋体" w:hAnsi="宋体" w:eastAsia="宋体"/>
              </w:rPr>
              <w:t>总计</w:t>
            </w:r>
          </w:p>
        </w:tc>
        <w:tc>
          <w:tcPr>
            <w:tcW w:w="2835" w:type="dxa"/>
          </w:tcPr>
          <w:p>
            <w:pPr>
              <w:rPr>
                <w:rFonts w:ascii="宋体" w:hAnsi="宋体" w:eastAsia="宋体"/>
              </w:rPr>
            </w:pPr>
          </w:p>
        </w:tc>
        <w:tc>
          <w:tcPr>
            <w:tcW w:w="2410" w:type="dxa"/>
          </w:tcPr>
          <w:p>
            <w:pPr>
              <w:rPr>
                <w:rFonts w:ascii="宋体" w:hAnsi="宋体" w:eastAsia="宋体"/>
              </w:rPr>
            </w:pPr>
            <w:r>
              <w:rPr>
                <w:rFonts w:hint="eastAsia" w:ascii="宋体" w:hAnsi="宋体" w:eastAsia="宋体"/>
              </w:rPr>
              <w:t>3</w:t>
            </w:r>
            <w:r>
              <w:rPr>
                <w:rFonts w:ascii="宋体" w:hAnsi="宋体" w:eastAsia="宋体"/>
              </w:rPr>
              <w:t>73</w:t>
            </w:r>
          </w:p>
        </w:tc>
        <w:tc>
          <w:tcPr>
            <w:tcW w:w="2409" w:type="dxa"/>
          </w:tcPr>
          <w:p>
            <w:pPr>
              <w:rPr>
                <w:rFonts w:ascii="宋体" w:hAnsi="宋体" w:eastAsia="宋体"/>
              </w:rPr>
            </w:pPr>
            <w:r>
              <w:rPr>
                <w:rFonts w:hint="eastAsia" w:ascii="宋体" w:hAnsi="宋体" w:eastAsia="宋体"/>
              </w:rPr>
              <w:t>7</w:t>
            </w:r>
            <w:r>
              <w:rPr>
                <w:rFonts w:ascii="宋体" w:hAnsi="宋体" w:eastAsia="宋体"/>
              </w:rPr>
              <w:t>2</w:t>
            </w:r>
            <w:r>
              <w:rPr>
                <w:rFonts w:hint="eastAsia" w:ascii="宋体" w:hAnsi="宋体" w:eastAsia="宋体"/>
              </w:rPr>
              <w:t>（市直单位3</w:t>
            </w:r>
            <w:r>
              <w:rPr>
                <w:rFonts w:ascii="宋体" w:hAnsi="宋体" w:eastAsia="宋体"/>
              </w:rPr>
              <w:t>1</w:t>
            </w:r>
            <w:r>
              <w:rPr>
                <w:rFonts w:hint="eastAsia" w:ascii="宋体" w:hAnsi="宋体" w:eastAsia="宋体"/>
              </w:rPr>
              <w:t>，区级政府4</w:t>
            </w:r>
            <w:r>
              <w:rPr>
                <w:rFonts w:ascii="宋体" w:hAnsi="宋体" w:eastAsia="宋体"/>
              </w:rPr>
              <w:t>1</w:t>
            </w:r>
            <w:r>
              <w:rPr>
                <w:rFonts w:hint="eastAsia" w:ascii="宋体" w:hAnsi="宋体" w:eastAsia="宋体"/>
              </w:rPr>
              <w:t>）</w:t>
            </w:r>
          </w:p>
        </w:tc>
      </w:tr>
    </w:tbl>
    <w:p>
      <w:pPr>
        <w:ind w:firstLine="420" w:firstLineChars="200"/>
        <w:rPr>
          <w:rFonts w:ascii="宋体" w:hAnsi="宋体" w:eastAsia="宋体"/>
        </w:rPr>
      </w:pPr>
      <w:r>
        <w:rPr>
          <w:rFonts w:hint="eastAsia" w:ascii="宋体" w:hAnsi="宋体" w:eastAsia="宋体"/>
        </w:rPr>
        <w:t>上述7</w:t>
      </w:r>
      <w:r>
        <w:rPr>
          <w:rFonts w:ascii="宋体" w:hAnsi="宋体" w:eastAsia="宋体"/>
        </w:rPr>
        <w:t>2</w:t>
      </w:r>
      <w:r>
        <w:rPr>
          <w:rFonts w:hint="eastAsia" w:ascii="宋体" w:hAnsi="宋体" w:eastAsia="宋体"/>
        </w:rPr>
        <w:t>份涉及市场主体经济活动的的政策措施中，市直单位出台</w:t>
      </w:r>
      <w:r>
        <w:rPr>
          <w:rFonts w:ascii="宋体" w:hAnsi="宋体" w:eastAsia="宋体"/>
        </w:rPr>
        <w:t>31</w:t>
      </w:r>
      <w:r>
        <w:rPr>
          <w:rFonts w:hint="eastAsia" w:ascii="宋体" w:hAnsi="宋体" w:eastAsia="宋体"/>
        </w:rPr>
        <w:t>份，区政府（开发区管委会）出台4</w:t>
      </w:r>
      <w:r>
        <w:rPr>
          <w:rFonts w:ascii="宋体" w:hAnsi="宋体" w:eastAsia="宋体"/>
        </w:rPr>
        <w:t>1</w:t>
      </w:r>
      <w:r>
        <w:rPr>
          <w:rFonts w:hint="eastAsia" w:ascii="宋体" w:hAnsi="宋体" w:eastAsia="宋体"/>
        </w:rPr>
        <w:t>份。</w:t>
      </w:r>
    </w:p>
    <w:p>
      <w:pPr>
        <w:ind w:firstLine="422" w:firstLineChars="200"/>
        <w:rPr>
          <w:rFonts w:ascii="宋体" w:hAnsi="宋体" w:eastAsia="宋体"/>
          <w:b/>
          <w:bCs/>
        </w:rPr>
      </w:pPr>
      <w:r>
        <w:rPr>
          <w:rFonts w:hint="eastAsia" w:ascii="宋体" w:hAnsi="宋体" w:eastAsia="宋体"/>
          <w:b/>
          <w:bCs/>
        </w:rPr>
        <w:t>（二）评估工作内容</w:t>
      </w:r>
    </w:p>
    <w:p>
      <w:pPr>
        <w:ind w:firstLine="420"/>
        <w:rPr>
          <w:rFonts w:ascii="宋体" w:hAnsi="宋体" w:eastAsia="宋体"/>
        </w:rPr>
      </w:pPr>
      <w:r>
        <w:rPr>
          <w:rFonts w:hint="eastAsia" w:ascii="宋体" w:hAnsi="宋体" w:eastAsia="宋体"/>
        </w:rPr>
        <w:t>根据市公平竞争审查工作联席会议办公室（市场监管局）的安排，本次公平竞争审查第三方评估包括以下两个方面的工作内容，或者说要完成以下两方面的任务：</w:t>
      </w:r>
    </w:p>
    <w:p>
      <w:pPr>
        <w:ind w:firstLine="420"/>
        <w:rPr>
          <w:rFonts w:ascii="宋体" w:hAnsi="宋体" w:eastAsia="宋体"/>
        </w:rPr>
      </w:pPr>
      <w:r>
        <w:rPr>
          <w:rFonts w:hint="eastAsia" w:ascii="宋体" w:hAnsi="宋体" w:eastAsia="宋体"/>
        </w:rPr>
        <w:t>第一，对各评估对象单位202</w:t>
      </w:r>
      <w:r>
        <w:rPr>
          <w:rFonts w:ascii="宋体" w:hAnsi="宋体" w:eastAsia="宋体"/>
        </w:rPr>
        <w:t>1</w:t>
      </w:r>
      <w:r>
        <w:rPr>
          <w:rFonts w:hint="eastAsia" w:ascii="宋体" w:hAnsi="宋体" w:eastAsia="宋体"/>
        </w:rPr>
        <w:t>年出台的涉及市场主体经济活动的政策措施，依照国家相关法律、法规和政策规定的标准，就其公平竞争自我审查情况进行复查，并对具有违反公平竞争审查标准内容的政策措施填写《公平竞争审查第三方评估表》，出具评估意见。</w:t>
      </w:r>
    </w:p>
    <w:p>
      <w:pPr>
        <w:ind w:firstLine="420"/>
        <w:rPr>
          <w:rFonts w:ascii="宋体" w:hAnsi="宋体" w:eastAsia="宋体"/>
        </w:rPr>
      </w:pPr>
      <w:r>
        <w:rPr>
          <w:rFonts w:hint="eastAsia" w:ascii="宋体" w:hAnsi="宋体" w:eastAsia="宋体"/>
        </w:rPr>
        <w:t>第二，通过分析各单位填写的调查问卷、涉及市场主体经济活动政策措施的公平竞争审查流程，以及对政策措施进行复核性竞争审查，考察各单位公平竞争审查机制建设和制度落实情况，如各单位是否有较强的公平竞争审查意识，是否有明确的公平竞争审查负责机构和专门人员，以及公平竞争审查工作人员业务水平、公平竞争审查工作实际效果等。在此基础上，撰写公平竞争审查第三方评估报告，系统分析武汉市公平竞争审查工作实施现状，查找存在的问题，提出改进意见和建议。</w:t>
      </w:r>
    </w:p>
    <w:p>
      <w:pPr>
        <w:ind w:firstLine="422" w:firstLineChars="200"/>
        <w:rPr>
          <w:rFonts w:ascii="宋体" w:hAnsi="宋体" w:eastAsia="宋体"/>
          <w:b/>
          <w:bCs/>
        </w:rPr>
      </w:pPr>
      <w:r>
        <w:rPr>
          <w:rFonts w:hint="eastAsia" w:ascii="宋体" w:hAnsi="宋体" w:eastAsia="宋体"/>
          <w:b/>
          <w:bCs/>
        </w:rPr>
        <w:t>（三）评估依据</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公平竞争审查制度的直接目的是防止政府出台排除、限制市场竞争的政策措施，而排除、限制竞争的政府行为，本质上就是行政垄断行为。《反垄断法》是规制政府行政垄断行为的基本的、重要的法律文件，同时也是公平竞争审查制度建立的法律依据，其精神、原则和制度当然也是包括第三方评估在内的具体公平竞争审查工作的基本依据。此外，2016年《国务院关于在市场体系建设中建立公平竞争审查制度的意见》及20</w:t>
      </w:r>
      <w:r>
        <w:rPr>
          <w:rFonts w:ascii="宋体" w:hAnsi="宋体" w:eastAsia="宋体"/>
        </w:rPr>
        <w:t>21</w:t>
      </w:r>
      <w:r>
        <w:rPr>
          <w:rFonts w:hint="eastAsia" w:ascii="宋体" w:hAnsi="宋体" w:eastAsia="宋体"/>
        </w:rPr>
        <w:t>年市场监管总局、国家发改委、财政部等五部门联合印发的</w:t>
      </w:r>
      <w:bookmarkStart w:id="0" w:name="_Hlk59442010"/>
      <w:r>
        <w:rPr>
          <w:rFonts w:hint="eastAsia" w:ascii="宋体" w:hAnsi="宋体" w:eastAsia="宋体"/>
        </w:rPr>
        <w:t>《公平竞争审查制度实施细则》</w:t>
      </w:r>
      <w:bookmarkEnd w:id="0"/>
      <w:r>
        <w:rPr>
          <w:rFonts w:hint="eastAsia" w:ascii="宋体" w:hAnsi="宋体" w:eastAsia="宋体"/>
        </w:rPr>
        <w:t>，对公平竞争审查对象、审查方式、审查主体、审查程序、审查标准、适用例外等做了详细规定，它们是本次第三方竞争评估工作的直接依据。</w:t>
      </w:r>
    </w:p>
    <w:p>
      <w:pPr>
        <w:ind w:firstLine="420"/>
        <w:rPr>
          <w:rFonts w:ascii="宋体" w:hAnsi="宋体" w:eastAsia="宋体"/>
        </w:rPr>
      </w:pPr>
      <w:r>
        <w:rPr>
          <w:rFonts w:hint="eastAsia" w:ascii="宋体" w:hAnsi="宋体" w:eastAsia="宋体"/>
        </w:rPr>
        <w:t>第三方评估中，最核心的一项工作是对涉及市场主体经济活动的政策措施进行实质性竞争审查，也即对各单位的公平竞争自我审查进行复查。竞争审查的主要标准就是《公平竞争审查制度实施细则》第三章规定的四大标准：市场准入和退出标准、商品和要素自由流动标准、影响生产经营成本标准、影响生产经营行为标准。这四大标准又细分为十八项审查标准。在十八项审查标准之下，又详细列举了五十余项违反标准的行为表现。需要说明的是，《公平竞争审查制度实施细则》对这五十余项具体表现行为的列举并非是穷尽式列举，有些涉及市场主体经济活动的政策措施中的条款虽不属于《细则》明确列举之列，但与相关审查标准实质内涵相同，具有相似竞争损害后果的，也可能涉嫌排除、限制、扭曲竞争。换言之，竞争审查标准主要以《公平竞争审查制度实施细则》列举的行为表现为依据，但又完全不局限于此。</w:t>
      </w:r>
    </w:p>
    <w:p>
      <w:pPr>
        <w:ind w:firstLine="422" w:firstLineChars="200"/>
        <w:rPr>
          <w:rFonts w:ascii="宋体" w:hAnsi="宋体" w:eastAsia="宋体"/>
          <w:b/>
          <w:bCs/>
        </w:rPr>
      </w:pPr>
      <w:r>
        <w:rPr>
          <w:rFonts w:hint="eastAsia" w:ascii="宋体" w:hAnsi="宋体" w:eastAsia="宋体"/>
          <w:b/>
          <w:bCs/>
        </w:rPr>
        <w:t>（四）评估工作流程</w:t>
      </w:r>
    </w:p>
    <w:p>
      <w:pPr>
        <w:ind w:firstLine="420"/>
        <w:rPr>
          <w:rFonts w:ascii="宋体" w:hAnsi="宋体" w:eastAsia="宋体"/>
        </w:rPr>
      </w:pPr>
      <w:r>
        <w:rPr>
          <w:rFonts w:hint="eastAsia" w:ascii="宋体" w:hAnsi="宋体" w:eastAsia="宋体"/>
        </w:rPr>
        <w:t>根据武汉市公平竞争审查工作联席会议办公室的统筹安排，2</w:t>
      </w:r>
      <w:r>
        <w:rPr>
          <w:rFonts w:ascii="宋体" w:hAnsi="宋体" w:eastAsia="宋体"/>
        </w:rPr>
        <w:t>021</w:t>
      </w:r>
      <w:r>
        <w:rPr>
          <w:rFonts w:hint="eastAsia" w:ascii="宋体" w:hAnsi="宋体" w:eastAsia="宋体"/>
        </w:rPr>
        <w:t>年度的第三方评估工作分上半年（1</w:t>
      </w:r>
      <w:r>
        <w:rPr>
          <w:rFonts w:ascii="宋体" w:hAnsi="宋体" w:eastAsia="宋体"/>
        </w:rPr>
        <w:t>-6</w:t>
      </w:r>
      <w:r>
        <w:rPr>
          <w:rFonts w:hint="eastAsia" w:ascii="宋体" w:hAnsi="宋体" w:eastAsia="宋体"/>
        </w:rPr>
        <w:t>月）和下半年（7</w:t>
      </w:r>
      <w:r>
        <w:rPr>
          <w:rFonts w:ascii="宋体" w:hAnsi="宋体" w:eastAsia="宋体"/>
        </w:rPr>
        <w:t>-12</w:t>
      </w:r>
      <w:r>
        <w:rPr>
          <w:rFonts w:hint="eastAsia" w:ascii="宋体" w:hAnsi="宋体" w:eastAsia="宋体"/>
        </w:rPr>
        <w:t>月）两次进行。每次均是在第三方机构与市联席会议办公室共同拟定《武汉市公平竞争审查第三方评估工作调查问卷》后，由联席会议办公室工作人员将调查问卷分发至各评估对象单位，并在规定时间内予以回收。之后，联席会议办公室将各单位提交的调查问卷、相关政策措施原文及自我审查书面记录转交第三方评估机构。</w:t>
      </w:r>
    </w:p>
    <w:p>
      <w:pPr>
        <w:ind w:firstLine="420"/>
        <w:rPr>
          <w:rFonts w:ascii="宋体" w:hAnsi="宋体" w:eastAsia="宋体"/>
        </w:rPr>
      </w:pPr>
      <w:r>
        <w:rPr>
          <w:rFonts w:hint="eastAsia" w:ascii="宋体" w:hAnsi="宋体" w:eastAsia="宋体"/>
        </w:rPr>
        <w:t>第三方评估机构在收到评估对象单位的相关材料后，具体按照以下步骤开展评估工作：</w:t>
      </w:r>
    </w:p>
    <w:p>
      <w:pPr>
        <w:ind w:firstLine="420"/>
        <w:rPr>
          <w:rFonts w:ascii="宋体" w:hAnsi="宋体" w:eastAsia="宋体"/>
        </w:rPr>
      </w:pPr>
      <w:r>
        <w:rPr>
          <w:rFonts w:hint="eastAsia" w:ascii="宋体" w:hAnsi="宋体" w:eastAsia="宋体"/>
        </w:rPr>
        <w:t>第一步，分析确定2</w:t>
      </w:r>
      <w:r>
        <w:rPr>
          <w:rFonts w:ascii="宋体" w:hAnsi="宋体" w:eastAsia="宋体"/>
        </w:rPr>
        <w:t>021</w:t>
      </w:r>
      <w:r>
        <w:rPr>
          <w:rFonts w:hint="eastAsia" w:ascii="宋体" w:hAnsi="宋体" w:eastAsia="宋体"/>
        </w:rPr>
        <w:t>年度第三方评估中需要进行竞争审查复查的具体政策措施对象范围。首先，查看各单位提交的政策措施材料是否由行政机关所出台，是否是202</w:t>
      </w:r>
      <w:r>
        <w:rPr>
          <w:rFonts w:ascii="宋体" w:hAnsi="宋体" w:eastAsia="宋体"/>
        </w:rPr>
        <w:t>1</w:t>
      </w:r>
      <w:r>
        <w:rPr>
          <w:rFonts w:hint="eastAsia" w:ascii="宋体" w:hAnsi="宋体" w:eastAsia="宋体"/>
        </w:rPr>
        <w:t>年发布或修改。如果是以中国共产党党委名义或者以党委为主与政府联合发布的文件，不属于公平竞争审查对象，不纳入统计和评估范围；如果不是202</w:t>
      </w:r>
      <w:r>
        <w:rPr>
          <w:rFonts w:ascii="宋体" w:hAnsi="宋体" w:eastAsia="宋体"/>
        </w:rPr>
        <w:t>1</w:t>
      </w:r>
      <w:r>
        <w:rPr>
          <w:rFonts w:hint="eastAsia" w:ascii="宋体" w:hAnsi="宋体" w:eastAsia="宋体"/>
        </w:rPr>
        <w:t>年发布或修订的政策措施，也不纳入本次统计和评估范围。其次，分析各评估对象单位202</w:t>
      </w:r>
      <w:r>
        <w:rPr>
          <w:rFonts w:ascii="宋体" w:hAnsi="宋体" w:eastAsia="宋体"/>
        </w:rPr>
        <w:t>1</w:t>
      </w:r>
      <w:r>
        <w:rPr>
          <w:rFonts w:hint="eastAsia" w:ascii="宋体" w:hAnsi="宋体" w:eastAsia="宋体"/>
        </w:rPr>
        <w:t>年出台的政策措施中，有哪些与市场准入和退出、产业发展、招商引资、招标投标、政府采购、经营行为规范、资质标准等相关，从而涉及市场主体的经济活动。涉及市场主体经济活动的政策措施是各单位进行公平竞争审查的对象，也是第三方评估中进行竞争审查复查的对象。</w:t>
      </w:r>
    </w:p>
    <w:p>
      <w:pPr>
        <w:ind w:firstLine="420"/>
        <w:rPr>
          <w:rFonts w:ascii="宋体" w:hAnsi="宋体" w:eastAsia="宋体"/>
        </w:rPr>
      </w:pPr>
      <w:r>
        <w:rPr>
          <w:rFonts w:hint="eastAsia" w:ascii="宋体" w:hAnsi="宋体" w:eastAsia="宋体"/>
        </w:rPr>
        <w:t>第二步，对各评估对象单位出台的涉及市场主体经济活动的政策措施进行实质性竞争审查，也即进行公平竞争审查复查，依照相关法律法规或政策分析是否存在违反公平竞争审查标准的内容。对涉嫌具有排除、限制、扭曲竞争效果的政策措施填写《公平竞争审查第三方评估表》，对违反公平竞争审查相关标准的情况进行说明，并提出处理建议。</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第三步，将评估机构对各单位政策措施的竞争审查复查情况与各单位自我审查情况相对照，并结合各评估对象单位提交的《武汉市公平竞争审查第三方评估工作调查问卷》所传达的相关信息，对武汉市各评估对象单位目前公平竞争审查机制建设和制度实施现状进行分析。</w:t>
      </w:r>
    </w:p>
    <w:p>
      <w:pPr>
        <w:ind w:firstLine="430"/>
        <w:rPr>
          <w:rFonts w:ascii="宋体" w:hAnsi="宋体" w:eastAsia="宋体"/>
        </w:rPr>
      </w:pPr>
      <w:r>
        <w:rPr>
          <w:rFonts w:hint="eastAsia" w:ascii="宋体" w:hAnsi="宋体" w:eastAsia="宋体"/>
        </w:rPr>
        <w:t>第四步，撰写《武汉市公平竞争审查第三方评估报告》，全面阐述本次第三方评估工作的内容、依据、对象及工作流程，归纳、梳理对各单位政策措施公平竞争审查复查中暴露出来的普遍性违反审查标准的做法，分析各单位公平竞争审查工作实施中存在的问题，并提出改进意见和建议。</w:t>
      </w:r>
    </w:p>
    <w:p>
      <w:pPr>
        <w:rPr>
          <w:rFonts w:ascii="宋体" w:hAnsi="宋体" w:eastAsia="宋体"/>
        </w:rPr>
      </w:pPr>
    </w:p>
    <w:p>
      <w:pPr>
        <w:rPr>
          <w:rFonts w:ascii="黑体" w:hAnsi="黑体" w:eastAsia="黑体"/>
          <w:b/>
          <w:bCs/>
          <w:sz w:val="24"/>
          <w:szCs w:val="24"/>
        </w:rPr>
      </w:pPr>
      <w:r>
        <w:rPr>
          <w:rFonts w:hint="eastAsia" w:ascii="宋体" w:hAnsi="宋体" w:eastAsia="宋体"/>
        </w:rPr>
        <w:t xml:space="preserve"> </w:t>
      </w:r>
      <w:r>
        <w:rPr>
          <w:rFonts w:ascii="宋体" w:hAnsi="宋体" w:eastAsia="宋体"/>
        </w:rPr>
        <w:t xml:space="preserve">   </w:t>
      </w:r>
      <w:r>
        <w:rPr>
          <w:rFonts w:hint="eastAsia" w:ascii="黑体" w:hAnsi="黑体" w:eastAsia="黑体"/>
          <w:b/>
          <w:bCs/>
          <w:sz w:val="24"/>
          <w:szCs w:val="24"/>
        </w:rPr>
        <w:t>二、对各评估对象单位涉及市场主体经济活动政策措施的竞争审查（公平竞争自我审查之复查）</w:t>
      </w:r>
    </w:p>
    <w:p>
      <w:pPr>
        <w:rPr>
          <w:rFonts w:ascii="宋体" w:hAnsi="宋体" w:eastAsia="宋体"/>
        </w:rPr>
      </w:pP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ascii="宋体" w:hAnsi="宋体" w:eastAsia="宋体"/>
          <w:b/>
          <w:bCs/>
        </w:rPr>
        <w:t xml:space="preserve"> </w:t>
      </w:r>
      <w:r>
        <w:rPr>
          <w:rFonts w:hint="eastAsia" w:ascii="宋体" w:hAnsi="宋体" w:eastAsia="宋体"/>
          <w:b/>
          <w:bCs/>
        </w:rPr>
        <w:t>（一）违反公平竞争审查标准政策措施的总体情况</w:t>
      </w:r>
    </w:p>
    <w:p>
      <w:pPr>
        <w:ind w:firstLine="420"/>
        <w:rPr>
          <w:rFonts w:ascii="宋体" w:hAnsi="宋体" w:eastAsia="宋体"/>
        </w:rPr>
      </w:pPr>
      <w:r>
        <w:rPr>
          <w:rFonts w:hint="eastAsia" w:ascii="宋体" w:hAnsi="宋体" w:eastAsia="宋体"/>
        </w:rPr>
        <w:t>本次第三方评估需要进行公平竞争审查复查的政策措施7</w:t>
      </w:r>
      <w:r>
        <w:rPr>
          <w:rFonts w:ascii="宋体" w:hAnsi="宋体" w:eastAsia="宋体"/>
        </w:rPr>
        <w:t>2</w:t>
      </w:r>
      <w:r>
        <w:rPr>
          <w:rFonts w:hint="eastAsia" w:ascii="宋体" w:hAnsi="宋体" w:eastAsia="宋体"/>
        </w:rPr>
        <w:t>份，经过细致分析研判，发现其中3</w:t>
      </w:r>
      <w:r>
        <w:rPr>
          <w:rFonts w:ascii="宋体" w:hAnsi="宋体" w:eastAsia="宋体"/>
        </w:rPr>
        <w:t>1</w:t>
      </w:r>
      <w:r>
        <w:rPr>
          <w:rFonts w:hint="eastAsia" w:ascii="宋体" w:hAnsi="宋体" w:eastAsia="宋体"/>
        </w:rPr>
        <w:t>份政策措施中存在涉嫌违反公平竞争审查标准的内容，占所有涉市场主体经济活动政策措施总数的比例为4</w:t>
      </w:r>
      <w:r>
        <w:rPr>
          <w:rFonts w:ascii="宋体" w:hAnsi="宋体" w:eastAsia="宋体"/>
        </w:rPr>
        <w:t>3%</w:t>
      </w:r>
      <w:r>
        <w:rPr>
          <w:rFonts w:hint="eastAsia" w:ascii="宋体" w:hAnsi="宋体" w:eastAsia="宋体"/>
        </w:rPr>
        <w:t>（请见图1）。这一数字比2</w:t>
      </w:r>
      <w:r>
        <w:rPr>
          <w:rFonts w:ascii="宋体" w:hAnsi="宋体" w:eastAsia="宋体"/>
        </w:rPr>
        <w:t>020</w:t>
      </w:r>
      <w:r>
        <w:rPr>
          <w:rFonts w:hint="eastAsia" w:ascii="宋体" w:hAnsi="宋体" w:eastAsia="宋体"/>
        </w:rPr>
        <w:t>年抽样评估的结果降低了</w:t>
      </w:r>
      <w:r>
        <w:rPr>
          <w:rFonts w:ascii="宋体" w:hAnsi="宋体" w:eastAsia="宋体"/>
        </w:rPr>
        <w:t>9</w:t>
      </w:r>
      <w:r>
        <w:rPr>
          <w:rFonts w:hint="eastAsia" w:ascii="宋体" w:hAnsi="宋体" w:eastAsia="宋体"/>
        </w:rPr>
        <w:t>个百分点。</w:t>
      </w:r>
    </w:p>
    <w:p>
      <w:pPr>
        <w:ind w:firstLine="420"/>
        <w:rPr>
          <w:rFonts w:ascii="宋体" w:hAnsi="宋体" w:eastAsia="宋体"/>
        </w:rPr>
      </w:pPr>
      <w:r>
        <w:rPr>
          <w:rFonts w:ascii="宋体" w:hAnsi="宋体" w:eastAsia="宋体"/>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420"/>
        <w:rPr>
          <w:rFonts w:ascii="宋体" w:hAnsi="宋体" w:eastAsia="宋体"/>
        </w:rPr>
      </w:pPr>
      <w:r>
        <w:rPr>
          <w:rFonts w:hint="eastAsia" w:ascii="宋体" w:hAnsi="宋体" w:eastAsia="宋体"/>
        </w:rPr>
        <w:t>本次评估发现的违反公平竞争审查标准的政策措施分别由2家市直单位和8家区政府（开发区管委会）制定发布。其中，2家市直单位出台了2份，其余2</w:t>
      </w:r>
      <w:r>
        <w:rPr>
          <w:rFonts w:ascii="宋体" w:hAnsi="宋体" w:eastAsia="宋体"/>
        </w:rPr>
        <w:t>9</w:t>
      </w:r>
      <w:r>
        <w:rPr>
          <w:rFonts w:hint="eastAsia" w:ascii="宋体" w:hAnsi="宋体" w:eastAsia="宋体"/>
        </w:rPr>
        <w:t>份存在违反审查标准内容的政策措施均由8家区政府（开发区管委会）出台。分布情况请见图2。如果分开计算各自比例，前者违反审查标准的政策措施占涉及市场主体经济活动政策措施总数的比例是6</w:t>
      </w:r>
      <w:r>
        <w:rPr>
          <w:rFonts w:ascii="宋体" w:hAnsi="宋体" w:eastAsia="宋体"/>
        </w:rPr>
        <w:t>%</w:t>
      </w:r>
      <w:r>
        <w:rPr>
          <w:rFonts w:hint="eastAsia" w:ascii="宋体" w:hAnsi="宋体" w:eastAsia="宋体"/>
        </w:rPr>
        <w:t>，后者是6</w:t>
      </w:r>
      <w:r>
        <w:rPr>
          <w:rFonts w:ascii="宋体" w:hAnsi="宋体" w:eastAsia="宋体"/>
        </w:rPr>
        <w:t>8</w:t>
      </w:r>
      <w:r>
        <w:rPr>
          <w:rFonts w:hint="eastAsia" w:ascii="宋体" w:hAnsi="宋体" w:eastAsia="宋体"/>
        </w:rPr>
        <w:t>%。</w:t>
      </w:r>
    </w:p>
    <w:p>
      <w:pPr>
        <w:rPr>
          <w:rFonts w:ascii="宋体" w:hAnsi="宋体" w:eastAsia="宋体"/>
        </w:rPr>
      </w:pPr>
      <w:r>
        <w:rPr>
          <w:rFonts w:ascii="宋体" w:hAnsi="宋体" w:eastAsia="宋体"/>
        </w:rPr>
        <w:drawing>
          <wp:inline distT="0" distB="0" distL="0" distR="0">
            <wp:extent cx="5274310" cy="3076575"/>
            <wp:effectExtent l="0" t="0" r="254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420"/>
        <w:rPr>
          <w:rFonts w:ascii="宋体" w:hAnsi="宋体" w:eastAsia="宋体"/>
        </w:rPr>
      </w:pPr>
      <w:r>
        <w:rPr>
          <w:rFonts w:ascii="宋体" w:hAnsi="宋体" w:eastAsia="宋体"/>
        </w:rPr>
        <w:t>31</w:t>
      </w:r>
      <w:r>
        <w:rPr>
          <w:rFonts w:hint="eastAsia" w:ascii="宋体" w:hAnsi="宋体" w:eastAsia="宋体"/>
        </w:rPr>
        <w:t>份存在违反公平竞争审查标准内容的政策措施，就所涉及的领域来看，产业发展方面的有</w:t>
      </w:r>
      <w:r>
        <w:rPr>
          <w:rFonts w:ascii="宋体" w:hAnsi="宋体" w:eastAsia="宋体"/>
        </w:rPr>
        <w:t>19</w:t>
      </w:r>
      <w:r>
        <w:rPr>
          <w:rFonts w:hint="eastAsia" w:ascii="宋体" w:hAnsi="宋体" w:eastAsia="宋体"/>
        </w:rPr>
        <w:t>份，招商引资方面的4份，科技创新方面的6份，其他2份。请见图3。很显然，违反公平竞争审查标准的政策措施高度集中于产业发展、招商引资和科技创新领域。</w:t>
      </w:r>
    </w:p>
    <w:p>
      <w:pPr>
        <w:rPr>
          <w:rFonts w:ascii="宋体" w:hAnsi="宋体" w:eastAsia="宋体"/>
        </w:rPr>
      </w:pPr>
      <w:r>
        <w:rPr>
          <w:rFonts w:ascii="宋体" w:hAnsi="宋体" w:eastAsia="宋体"/>
        </w:rPr>
        <w:drawing>
          <wp:inline distT="0" distB="0" distL="0" distR="0">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在我国现行经济、政治体制下，地方政府有责任，也有动力和压力大力发展本地经济。在税收优惠手段集中于中央的情况下，地方政府推动本地经济发展的一个常用手段，就是在产业扶持、招商引资及促进科技创新等方面对企业给予财政补贴和奖励。各地情况基本如此，也基本都在这些方面制定发布大量的扶持性政策措施。这方面的政策措施多，出现违反公平竞争审查标准的概率明显高于其他方面。而且，由于区级政府是独立的一级财政主体，施行于辖区内的财政奖补政策多以政府名义发布；而在市级层面，市政府发布施行于市域内的奖补政策，市直单位一般没有此类权力。故总体看，区级政府出台的产业发展、招商引资、科技创新方面的政策措施多，出现问题的情况也越多。这或许是区政府（开发区管委会）违反公平竞争审查标准的政策措施数量远多于市直单位的一个重要原因。</w:t>
      </w: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hint="eastAsia" w:ascii="宋体" w:hAnsi="宋体" w:eastAsia="宋体"/>
          <w:b/>
          <w:bCs/>
        </w:rPr>
        <w:t>（二）各单位政策措施中违反公平竞争审查标准条款汇总</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具体情况请见表2。由于该表格内容较多，为避免影响阅读，特将该表置于报告末尾。</w:t>
      </w: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hint="eastAsia" w:ascii="宋体" w:hAnsi="宋体" w:eastAsia="宋体"/>
          <w:b/>
          <w:bCs/>
        </w:rPr>
        <w:t>（三）违反公平竞争审查标准典型现象之分析说明</w:t>
      </w:r>
    </w:p>
    <w:p>
      <w:pPr>
        <w:ind w:firstLine="420"/>
        <w:rPr>
          <w:rFonts w:ascii="宋体" w:hAnsi="宋体" w:eastAsia="宋体"/>
        </w:rPr>
      </w:pPr>
      <w:r>
        <w:rPr>
          <w:rFonts w:hint="eastAsia" w:ascii="宋体" w:hAnsi="宋体" w:eastAsia="宋体"/>
        </w:rPr>
        <w:t>经统计，3</w:t>
      </w:r>
      <w:r>
        <w:rPr>
          <w:rFonts w:ascii="宋体" w:hAnsi="宋体" w:eastAsia="宋体"/>
        </w:rPr>
        <w:t>1</w:t>
      </w:r>
      <w:r>
        <w:rPr>
          <w:rFonts w:hint="eastAsia" w:ascii="宋体" w:hAnsi="宋体" w:eastAsia="宋体"/>
        </w:rPr>
        <w:t>份政策文件中共计出现了</w:t>
      </w:r>
      <w:r>
        <w:rPr>
          <w:rFonts w:ascii="宋体" w:hAnsi="宋体" w:eastAsia="宋体"/>
        </w:rPr>
        <w:t>61</w:t>
      </w:r>
      <w:r>
        <w:rPr>
          <w:rFonts w:hint="eastAsia" w:ascii="宋体" w:hAnsi="宋体" w:eastAsia="宋体"/>
        </w:rPr>
        <w:t>处违反公平竞争审查标准的内容。总体来看，以下四类违反标准现象最为典型和普遍：第一，政府财政优惠措施仅适用于法人企业，无条件将非法人经营者排除在外；第二，对大型企业或贡献重大企业在财政优惠方面“一事一议”、“一企一策”，而不是遵循普遍性标准；第三，要求接受财政奖补的企业在本地经营期限不得低于特定年限（一般是十年），限制经营者的市场退出自由；第四，对购买本地企业产品或服务的经营者予以财政补贴，或者直接指定本地企业为交易对象。</w:t>
      </w:r>
    </w:p>
    <w:p>
      <w:pPr>
        <w:ind w:firstLine="420"/>
        <w:rPr>
          <w:rFonts w:ascii="宋体" w:hAnsi="宋体" w:eastAsia="宋体"/>
        </w:rPr>
      </w:pPr>
      <w:r>
        <w:rPr>
          <w:rFonts w:hint="eastAsia" w:ascii="宋体" w:hAnsi="宋体" w:eastAsia="宋体"/>
        </w:rPr>
        <w:t>各种违反公平竞争审查标准现象分别出现的次数请见表</w:t>
      </w:r>
      <w:r>
        <w:rPr>
          <w:rFonts w:ascii="宋体" w:hAnsi="宋体" w:eastAsia="宋体"/>
        </w:rPr>
        <w:t>3</w:t>
      </w:r>
      <w:r>
        <w:rPr>
          <w:rFonts w:hint="eastAsia" w:ascii="宋体" w:hAnsi="宋体" w:eastAsia="宋体"/>
        </w:rPr>
        <w:t>。</w:t>
      </w:r>
    </w:p>
    <w:p>
      <w:pPr>
        <w:rPr>
          <w:rFonts w:ascii="楷体" w:hAnsi="楷体" w:eastAsia="楷体"/>
        </w:rPr>
      </w:pPr>
      <w:r>
        <w:rPr>
          <w:rFonts w:hint="eastAsia" w:ascii="宋体" w:hAnsi="宋体" w:eastAsia="宋体"/>
        </w:rPr>
        <w:t xml:space="preserve"> </w:t>
      </w:r>
      <w:r>
        <w:rPr>
          <w:rFonts w:ascii="宋体" w:hAnsi="宋体" w:eastAsia="宋体"/>
        </w:rPr>
        <w:t xml:space="preserve">                 </w:t>
      </w:r>
      <w:r>
        <w:rPr>
          <w:rFonts w:hint="eastAsia" w:ascii="楷体" w:hAnsi="楷体" w:eastAsia="楷体"/>
        </w:rPr>
        <w:t>表</w:t>
      </w:r>
      <w:r>
        <w:rPr>
          <w:rFonts w:ascii="楷体" w:hAnsi="楷体" w:eastAsia="楷体"/>
        </w:rPr>
        <w:t xml:space="preserve">3. </w:t>
      </w:r>
      <w:r>
        <w:rPr>
          <w:rFonts w:hint="eastAsia" w:ascii="楷体" w:hAnsi="楷体" w:eastAsia="楷体"/>
        </w:rPr>
        <w:t>违反公平竞争审查标准现象统计</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95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序 号</w:t>
            </w:r>
          </w:p>
        </w:tc>
        <w:tc>
          <w:tcPr>
            <w:tcW w:w="5953" w:type="dxa"/>
          </w:tcPr>
          <w:p>
            <w:pPr>
              <w:widowControl w:val="0"/>
              <w:spacing w:line="240" w:lineRule="auto"/>
              <w:ind w:firstLine="630" w:firstLineChars="300"/>
              <w:jc w:val="both"/>
              <w:rPr>
                <w:rFonts w:ascii="宋体" w:hAnsi="宋体" w:eastAsia="宋体"/>
              </w:rPr>
            </w:pPr>
            <w:r>
              <w:rPr>
                <w:rFonts w:hint="eastAsia" w:ascii="宋体" w:hAnsi="宋体" w:eastAsia="宋体"/>
              </w:rPr>
              <w:t>违反公平竞争审查标准的表现</w:t>
            </w:r>
          </w:p>
        </w:tc>
        <w:tc>
          <w:tcPr>
            <w:tcW w:w="1497" w:type="dxa"/>
          </w:tcPr>
          <w:p>
            <w:pPr>
              <w:widowControl w:val="0"/>
              <w:spacing w:line="240" w:lineRule="auto"/>
              <w:ind w:firstLine="210" w:firstLineChars="100"/>
              <w:jc w:val="both"/>
              <w:rPr>
                <w:rFonts w:ascii="宋体" w:hAnsi="宋体" w:eastAsia="宋体"/>
              </w:rPr>
            </w:pPr>
            <w:r>
              <w:rPr>
                <w:rFonts w:hint="eastAsia" w:ascii="宋体" w:hAnsi="宋体" w:eastAsia="宋体"/>
              </w:rPr>
              <w:t>出现次数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1</w:t>
            </w:r>
          </w:p>
        </w:tc>
        <w:tc>
          <w:tcPr>
            <w:tcW w:w="5953" w:type="dxa"/>
          </w:tcPr>
          <w:p>
            <w:pPr>
              <w:widowControl w:val="0"/>
              <w:spacing w:line="240" w:lineRule="auto"/>
              <w:jc w:val="both"/>
              <w:rPr>
                <w:rFonts w:ascii="宋体" w:hAnsi="宋体" w:eastAsia="宋体"/>
              </w:rPr>
            </w:pPr>
            <w:r>
              <w:rPr>
                <w:rFonts w:hint="eastAsia" w:ascii="宋体" w:hAnsi="宋体" w:eastAsia="宋体"/>
              </w:rPr>
              <w:t>财政奖补政策适用对象限于法人企业</w:t>
            </w:r>
          </w:p>
        </w:tc>
        <w:tc>
          <w:tcPr>
            <w:tcW w:w="1497" w:type="dxa"/>
          </w:tcPr>
          <w:p>
            <w:pPr>
              <w:widowControl w:val="0"/>
              <w:spacing w:line="240" w:lineRule="auto"/>
              <w:jc w:val="both"/>
              <w:rPr>
                <w:rFonts w:ascii="宋体" w:hAnsi="宋体" w:eastAsia="宋体"/>
              </w:rPr>
            </w:pPr>
            <w:r>
              <w:rPr>
                <w:rFonts w:hint="eastAsia" w:ascii="宋体" w:hAnsi="宋体" w:eastAsia="宋体"/>
              </w:rPr>
              <w:t xml:space="preserve"> </w:t>
            </w:r>
            <w:r>
              <w:rPr>
                <w:rFonts w:ascii="宋体" w:hAnsi="宋体" w:eastAsia="宋体"/>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2</w:t>
            </w:r>
          </w:p>
        </w:tc>
        <w:tc>
          <w:tcPr>
            <w:tcW w:w="5953" w:type="dxa"/>
          </w:tcPr>
          <w:p>
            <w:pPr>
              <w:widowControl w:val="0"/>
              <w:spacing w:line="240" w:lineRule="auto"/>
              <w:jc w:val="both"/>
              <w:rPr>
                <w:rFonts w:ascii="宋体" w:hAnsi="宋体" w:eastAsia="宋体"/>
              </w:rPr>
            </w:pPr>
            <w:r>
              <w:rPr>
                <w:rFonts w:hint="eastAsia" w:ascii="宋体" w:hAnsi="宋体" w:eastAsia="宋体"/>
              </w:rPr>
              <w:t>对有贡献企业在财政奖补方面“一事一议”、“一企一策”</w:t>
            </w:r>
          </w:p>
        </w:tc>
        <w:tc>
          <w:tcPr>
            <w:tcW w:w="1497" w:type="dxa"/>
          </w:tcPr>
          <w:p>
            <w:pPr>
              <w:widowControl w:val="0"/>
              <w:spacing w:line="240" w:lineRule="auto"/>
              <w:jc w:val="both"/>
              <w:rPr>
                <w:rFonts w:ascii="宋体" w:hAnsi="宋体" w:eastAsia="宋体"/>
              </w:rPr>
            </w:pPr>
            <w:r>
              <w:rPr>
                <w:rFonts w:hint="eastAsia" w:ascii="宋体" w:hAnsi="宋体" w:eastAsia="宋体"/>
              </w:rPr>
              <w:t xml:space="preserve"> </w:t>
            </w:r>
            <w:r>
              <w:rPr>
                <w:rFonts w:ascii="宋体" w:hAnsi="宋体" w:eastAsia="宋体"/>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3</w:t>
            </w:r>
          </w:p>
        </w:tc>
        <w:tc>
          <w:tcPr>
            <w:tcW w:w="5953" w:type="dxa"/>
          </w:tcPr>
          <w:p>
            <w:pPr>
              <w:widowControl w:val="0"/>
              <w:spacing w:line="240" w:lineRule="auto"/>
              <w:jc w:val="both"/>
              <w:rPr>
                <w:rFonts w:ascii="宋体" w:hAnsi="宋体" w:eastAsia="宋体"/>
              </w:rPr>
            </w:pPr>
            <w:r>
              <w:rPr>
                <w:rFonts w:hint="eastAsia" w:ascii="宋体" w:hAnsi="宋体" w:eastAsia="宋体"/>
              </w:rPr>
              <w:t>受财政奖补企业在本地经营期限不得低于特定年限</w:t>
            </w:r>
          </w:p>
        </w:tc>
        <w:tc>
          <w:tcPr>
            <w:tcW w:w="1497" w:type="dxa"/>
          </w:tcPr>
          <w:p>
            <w:pPr>
              <w:widowControl w:val="0"/>
              <w:spacing w:line="240" w:lineRule="auto"/>
              <w:jc w:val="both"/>
              <w:rPr>
                <w:rFonts w:ascii="宋体" w:hAnsi="宋体" w:eastAsia="宋体"/>
              </w:rPr>
            </w:pPr>
            <w:r>
              <w:rPr>
                <w:rFonts w:hint="eastAsia" w:ascii="宋体" w:hAnsi="宋体" w:eastAsia="宋体"/>
              </w:rPr>
              <w:t xml:space="preserve"> </w:t>
            </w:r>
            <w:r>
              <w:rPr>
                <w:rFonts w:ascii="宋体" w:hAnsi="宋体" w:eastAsia="宋体"/>
              </w:rPr>
              <w:t xml:space="preserv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4</w:t>
            </w:r>
          </w:p>
        </w:tc>
        <w:tc>
          <w:tcPr>
            <w:tcW w:w="5953" w:type="dxa"/>
          </w:tcPr>
          <w:p>
            <w:pPr>
              <w:widowControl w:val="0"/>
              <w:spacing w:line="240" w:lineRule="auto"/>
              <w:jc w:val="both"/>
              <w:rPr>
                <w:rFonts w:ascii="宋体" w:hAnsi="宋体" w:eastAsia="宋体"/>
                <w:spacing w:val="-5"/>
                <w:szCs w:val="21"/>
              </w:rPr>
            </w:pPr>
            <w:r>
              <w:rPr>
                <w:rFonts w:hint="eastAsia" w:ascii="宋体" w:hAnsi="宋体" w:eastAsia="宋体"/>
              </w:rPr>
              <w:t>奖励购买本地企业产品或服务的经营者，或以其他方式限定交易，特别保护本地企业</w:t>
            </w:r>
          </w:p>
        </w:tc>
        <w:tc>
          <w:tcPr>
            <w:tcW w:w="1497" w:type="dxa"/>
          </w:tcPr>
          <w:p>
            <w:pPr>
              <w:widowControl w:val="0"/>
              <w:spacing w:line="240" w:lineRule="auto"/>
              <w:jc w:val="both"/>
              <w:rPr>
                <w:rFonts w:ascii="宋体" w:hAnsi="宋体" w:eastAsia="宋体"/>
              </w:rPr>
            </w:pPr>
            <w:r>
              <w:rPr>
                <w:rFonts w:hint="eastAsia" w:ascii="宋体" w:hAnsi="宋体" w:eastAsia="宋体"/>
              </w:rPr>
              <w:t xml:space="preserve"> </w:t>
            </w:r>
            <w:r>
              <w:rPr>
                <w:rFonts w:ascii="宋体" w:hAnsi="宋体" w:eastAsia="宋体"/>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5</w:t>
            </w:r>
          </w:p>
        </w:tc>
        <w:tc>
          <w:tcPr>
            <w:tcW w:w="5953" w:type="dxa"/>
          </w:tcPr>
          <w:p>
            <w:pPr>
              <w:widowControl w:val="0"/>
              <w:spacing w:line="240" w:lineRule="auto"/>
              <w:jc w:val="both"/>
              <w:rPr>
                <w:rFonts w:ascii="宋体" w:hAnsi="宋体" w:eastAsia="宋体"/>
              </w:rPr>
            </w:pPr>
            <w:r>
              <w:rPr>
                <w:rFonts w:hint="eastAsia" w:ascii="宋体" w:hAnsi="宋体" w:eastAsia="宋体"/>
              </w:rPr>
              <w:t>其他</w:t>
            </w:r>
          </w:p>
        </w:tc>
        <w:tc>
          <w:tcPr>
            <w:tcW w:w="1497" w:type="dxa"/>
          </w:tcPr>
          <w:p>
            <w:pPr>
              <w:widowControl w:val="0"/>
              <w:spacing w:line="240" w:lineRule="auto"/>
              <w:jc w:val="both"/>
              <w:rPr>
                <w:rFonts w:ascii="宋体" w:hAnsi="宋体" w:eastAsia="宋体"/>
              </w:rPr>
            </w:pPr>
            <w:r>
              <w:rPr>
                <w:rFonts w:hint="eastAsia" w:ascii="宋体" w:hAnsi="宋体" w:eastAsia="宋体"/>
              </w:rPr>
              <w:t xml:space="preserve"> </w:t>
            </w:r>
            <w:r>
              <w:rPr>
                <w:rFonts w:ascii="宋体" w:hAnsi="宋体" w:eastAsia="宋体"/>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widowControl w:val="0"/>
              <w:spacing w:line="240" w:lineRule="auto"/>
              <w:jc w:val="both"/>
              <w:rPr>
                <w:rFonts w:ascii="宋体" w:hAnsi="宋体" w:eastAsia="宋体"/>
              </w:rPr>
            </w:pPr>
            <w:r>
              <w:rPr>
                <w:rFonts w:hint="eastAsia" w:ascii="宋体" w:hAnsi="宋体" w:eastAsia="宋体"/>
              </w:rPr>
              <w:t>总计</w:t>
            </w:r>
          </w:p>
        </w:tc>
        <w:tc>
          <w:tcPr>
            <w:tcW w:w="5953" w:type="dxa"/>
          </w:tcPr>
          <w:p>
            <w:pPr>
              <w:widowControl w:val="0"/>
              <w:spacing w:line="240" w:lineRule="auto"/>
              <w:jc w:val="both"/>
              <w:rPr>
                <w:rFonts w:ascii="宋体" w:hAnsi="宋体" w:eastAsia="宋体"/>
                <w:spacing w:val="-5"/>
                <w:szCs w:val="21"/>
              </w:rPr>
            </w:pPr>
          </w:p>
        </w:tc>
        <w:tc>
          <w:tcPr>
            <w:tcW w:w="1497" w:type="dxa"/>
          </w:tcPr>
          <w:p>
            <w:pPr>
              <w:widowControl w:val="0"/>
              <w:spacing w:line="240" w:lineRule="auto"/>
              <w:jc w:val="both"/>
              <w:rPr>
                <w:rFonts w:ascii="宋体" w:hAnsi="宋体" w:eastAsia="宋体"/>
              </w:rPr>
            </w:pPr>
            <w:r>
              <w:rPr>
                <w:rFonts w:hint="eastAsia" w:ascii="宋体" w:hAnsi="宋体" w:eastAsia="宋体"/>
              </w:rPr>
              <w:t xml:space="preserve"> </w:t>
            </w:r>
            <w:r>
              <w:rPr>
                <w:rFonts w:ascii="宋体" w:hAnsi="宋体" w:eastAsia="宋体"/>
              </w:rPr>
              <w:t xml:space="preserve">   61</w:t>
            </w:r>
          </w:p>
        </w:tc>
      </w:tr>
    </w:tbl>
    <w:p>
      <w:pPr>
        <w:rPr>
          <w:rFonts w:ascii="宋体" w:hAnsi="宋体" w:eastAsia="宋体"/>
        </w:rPr>
      </w:pPr>
      <w:r>
        <w:rPr>
          <w:rFonts w:hint="eastAsia" w:ascii="宋体" w:hAnsi="宋体" w:eastAsia="宋体"/>
        </w:rPr>
        <w:t xml:space="preserve"> </w:t>
      </w:r>
      <w:r>
        <w:rPr>
          <w:rFonts w:ascii="宋体" w:hAnsi="宋体" w:eastAsia="宋体"/>
        </w:rPr>
        <w:t xml:space="preserve"> </w:t>
      </w:r>
    </w:p>
    <w:p>
      <w:pPr>
        <w:rPr>
          <w:rFonts w:ascii="楷体" w:hAnsi="楷体" w:eastAsia="楷体"/>
        </w:rPr>
      </w:pPr>
      <w:r>
        <w:rPr>
          <w:rFonts w:hint="eastAsia" w:ascii="宋体" w:hAnsi="宋体" w:eastAsia="宋体"/>
        </w:rPr>
        <w:t xml:space="preserve"> </w:t>
      </w:r>
      <w:r>
        <w:rPr>
          <w:rFonts w:ascii="宋体" w:hAnsi="宋体" w:eastAsia="宋体"/>
        </w:rPr>
        <w:t xml:space="preserve">   </w:t>
      </w:r>
      <w:r>
        <w:rPr>
          <w:rFonts w:ascii="楷体" w:hAnsi="楷体" w:eastAsia="楷体"/>
        </w:rPr>
        <w:t>1.</w:t>
      </w:r>
      <w:r>
        <w:rPr>
          <w:rFonts w:hint="eastAsia" w:ascii="楷体" w:hAnsi="楷体" w:eastAsia="楷体"/>
        </w:rPr>
        <w:t>关于财政奖补政策适用对象限于法人企业</w:t>
      </w:r>
    </w:p>
    <w:p>
      <w:pPr>
        <w:pStyle w:val="10"/>
        <w:snapToGrid w:val="0"/>
        <w:ind w:firstLine="420"/>
        <w:rPr>
          <w:rFonts w:ascii="宋体" w:hAnsi="宋体"/>
          <w:szCs w:val="21"/>
        </w:rPr>
      </w:pPr>
      <w:r>
        <w:rPr>
          <w:rFonts w:hint="eastAsia" w:ascii="宋体" w:hAnsi="宋体"/>
        </w:rPr>
        <w:t>在一些单位的促进产业发展、对外招商引资的政策措施中，一般都有</w:t>
      </w:r>
      <w:r>
        <w:rPr>
          <w:rFonts w:hint="eastAsia" w:ascii="宋体" w:hAnsi="宋体"/>
          <w:szCs w:val="21"/>
        </w:rPr>
        <w:t>“本办法适用于工商注册、税务登记在某某区域的具有独立法人资格的企业”或类似规定。按照这种规定，在政策制定机关所辖行政区域内登记的合伙组织等不具有法人资格的企业，即使为当地经济做出与法人企业同等的贡献，也不能享受相关奖补待遇。这种纯粹依据企业组织形式不同而决定是否给予财政奖补的做法，对法人企业是一种优惠，对非法人企业而言就是一种不具有合理性的差别待遇。</w:t>
      </w:r>
      <w:r>
        <w:rPr>
          <w:rFonts w:hint="eastAsia"/>
          <w:szCs w:val="21"/>
        </w:rPr>
        <w:t>实际上，设立企业，可以根据公司法采用法人组织形式，也可以根据合伙企业法等采用非法人组织形式，组织形式没有高下之分，法律对不同组织形式的企业给予同等对待。</w:t>
      </w:r>
      <w:r>
        <w:rPr>
          <w:rFonts w:hint="eastAsia" w:ascii="宋体" w:hAnsi="宋体"/>
          <w:szCs w:val="21"/>
        </w:rPr>
        <w:t>《公平竞争审查制度实施细则》第十三（一）条规定，没有法律法规或国务院规定依据，不得对不同组织形式的经营者实施不合理的差别化待遇，设置不平等的市场准入和退出条件。这里虽然不涉及市场准入和退出问题，但市场准入后的生产经营活动中，同样也不得仅因组织形式不同而给予不同的财政支持政策，否则会人为扭曲法人企业和非法人企业的生产经营成本构成，涉嫌违反《公平竞争审查制度实施细则》第十五条的“影响生产经营成本标准”。</w:t>
      </w:r>
    </w:p>
    <w:p>
      <w:pPr>
        <w:pStyle w:val="10"/>
        <w:snapToGrid w:val="0"/>
        <w:ind w:firstLine="420"/>
        <w:rPr>
          <w:rFonts w:ascii="宋体" w:hAnsi="宋体"/>
          <w:szCs w:val="21"/>
        </w:rPr>
      </w:pPr>
      <w:r>
        <w:rPr>
          <w:rFonts w:hint="eastAsia" w:ascii="宋体" w:hAnsi="宋体"/>
          <w:szCs w:val="21"/>
        </w:rPr>
        <w:t>而且，在一些财政奖补政策措施中，还包括了对中小微企业扶持的内容。相对而言，中小微企业更可能采用合伙等非法人组织形式。这种情况下，在此类政策措施的适用对象条款中无条件地将非法人企业排除在外，也不利于促进中小企业发展，与我国一贯坚持的促进中小企业发展的产业政策背道而驰。</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当然，在一些特定情况下，将财政奖补政策适用对象限于法人企业也具有合理性。比如一些地方政府为促进总部经济发展，制定了针对总部企业的财政奖补措施，由于总部企业必然是能对其他子公司、分公司进行股权控制或经营管理决策的企业，这样的企业肯定具有法人资格，这种情况下，政策制定机关规定相关财政奖补政策只适用于法人企业是可以的。</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总之，在没有法律、法规规定必须采用法人组织形式的行业领域，以及没有合理理由要求必须采用法人组织形式的情况下，政府的财政优惠对象仅仅限于公司等法人企业，对合伙组织等非法人企业是不公平的。</w:t>
      </w:r>
    </w:p>
    <w:p>
      <w:pPr>
        <w:rPr>
          <w:rFonts w:ascii="楷体" w:hAnsi="楷体" w:eastAsia="楷体"/>
        </w:rPr>
      </w:pPr>
      <w:r>
        <w:rPr>
          <w:rFonts w:hint="eastAsia" w:ascii="宋体" w:hAnsi="宋体" w:eastAsia="宋体"/>
        </w:rPr>
        <w:t xml:space="preserve"> </w:t>
      </w:r>
      <w:r>
        <w:rPr>
          <w:rFonts w:ascii="宋体" w:hAnsi="宋体" w:eastAsia="宋体"/>
        </w:rPr>
        <w:t xml:space="preserve">  </w:t>
      </w:r>
      <w:r>
        <w:rPr>
          <w:rFonts w:ascii="楷体" w:hAnsi="楷体" w:eastAsia="楷体"/>
        </w:rPr>
        <w:t xml:space="preserve"> 2.</w:t>
      </w:r>
      <w:r>
        <w:rPr>
          <w:rFonts w:hint="eastAsia" w:ascii="楷体" w:hAnsi="楷体" w:eastAsia="楷体"/>
        </w:rPr>
        <w:t>关于对重要企业在财政奖补方面“一事一议”、“一企一策”</w:t>
      </w:r>
    </w:p>
    <w:p>
      <w:pPr>
        <w:ind w:firstLine="420" w:firstLineChars="200"/>
        <w:rPr>
          <w:rFonts w:ascii="宋体" w:hAnsi="宋体" w:eastAsia="宋体"/>
        </w:rPr>
      </w:pPr>
      <w:r>
        <w:rPr>
          <w:rFonts w:hint="eastAsia" w:ascii="宋体" w:hAnsi="宋体" w:eastAsia="宋体"/>
          <w:szCs w:val="21"/>
        </w:rPr>
        <w:t>“对本地区经济发展具有重大支撑带动作用的企业，在土地供应、资金支持等方面采取一事一议的方式予以支持。”此类条款在政策制定机关出台的招商引资文件中频频出现，已成为地方政府吸引外地企业投资的常用手段。</w:t>
      </w:r>
    </w:p>
    <w:p>
      <w:pPr>
        <w:snapToGrid w:val="0"/>
        <w:ind w:firstLine="420" w:firstLineChars="200"/>
        <w:rPr>
          <w:rFonts w:ascii="宋体" w:hAnsi="宋体" w:eastAsia="宋体" w:cs="Times New Roman"/>
          <w:szCs w:val="21"/>
        </w:rPr>
      </w:pPr>
      <w:r>
        <w:rPr>
          <w:rFonts w:hint="eastAsia" w:ascii="Times New Roman" w:hAnsi="Times New Roman" w:eastAsia="宋体" w:cs="Times New Roman"/>
          <w:szCs w:val="21"/>
        </w:rPr>
        <w:t>但是，投资奖励方面的所谓“一事一议”、“一企一策”，实质是政府不是按照普遍标准，而是分别对不同的特定经营者给予不同的优惠待遇。这种做法随意性较大，很容易造成对经营者不合理的区别对待，涉嫌违反公平竞争审查的“影响生产经营成本标准”。《公平竞争审查制度实施细则》第十五（一）条明确规定，没有法律法规或国务院规定依据，不得违法给予特定经营者财政奖励和补贴。在没有普遍性政策标准的情况下，“一企一策”、“一事一议”</w:t>
      </w:r>
      <w:r>
        <w:rPr>
          <w:rFonts w:hint="eastAsia" w:ascii="宋体" w:hAnsi="宋体" w:eastAsia="宋体" w:cs="Times New Roman"/>
          <w:szCs w:val="21"/>
        </w:rPr>
        <w:t>，本质上就是给予不同的特定经营者不同的优惠待遇。</w:t>
      </w:r>
    </w:p>
    <w:p>
      <w:pPr>
        <w:ind w:firstLine="420" w:firstLineChars="200"/>
        <w:rPr>
          <w:rFonts w:ascii="宋体" w:hAnsi="宋体" w:eastAsia="宋体"/>
        </w:rPr>
      </w:pPr>
      <w:r>
        <w:rPr>
          <w:rFonts w:hint="eastAsia" w:ascii="Times New Roman" w:hAnsi="Times New Roman" w:eastAsia="宋体" w:cs="Times New Roman"/>
          <w:szCs w:val="21"/>
        </w:rPr>
        <w:t>所以对企业的财政奖补都宜制定普遍性标准，如果确实有必要在特殊情况下对特定企业通过“一事一议”的方式予以投资奖励，根据《公平竞争审查制度实施细则》的规定，也应进行公平竞争审查。</w:t>
      </w:r>
    </w:p>
    <w:p>
      <w:pPr>
        <w:rPr>
          <w:rFonts w:ascii="楷体" w:hAnsi="楷体" w:eastAsia="楷体"/>
        </w:rPr>
      </w:pPr>
      <w:r>
        <w:rPr>
          <w:rFonts w:hint="eastAsia" w:ascii="宋体" w:hAnsi="宋体" w:eastAsia="宋体"/>
        </w:rPr>
        <w:t xml:space="preserve"> </w:t>
      </w:r>
      <w:r>
        <w:rPr>
          <w:rFonts w:ascii="宋体" w:hAnsi="宋体" w:eastAsia="宋体"/>
        </w:rPr>
        <w:t xml:space="preserve">   </w:t>
      </w:r>
      <w:r>
        <w:rPr>
          <w:rFonts w:ascii="楷体" w:hAnsi="楷体" w:eastAsia="楷体"/>
        </w:rPr>
        <w:t>3.</w:t>
      </w:r>
      <w:r>
        <w:rPr>
          <w:rFonts w:hint="eastAsia" w:ascii="楷体" w:hAnsi="楷体" w:eastAsia="楷体"/>
        </w:rPr>
        <w:t>关于受财政奖补企业在本地经营期限不得低于特定年限</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在本次评估的多份政策文件中，均出现了</w:t>
      </w:r>
      <w:r>
        <w:rPr>
          <w:rFonts w:hint="eastAsia" w:ascii="宋体" w:hAnsi="宋体" w:eastAsia="宋体"/>
          <w:szCs w:val="21"/>
        </w:rPr>
        <w:t>“受奖企业须在某某区经营期限不低于若干年”</w:t>
      </w:r>
      <w:r>
        <w:rPr>
          <w:rFonts w:hint="eastAsia" w:ascii="宋体" w:hAnsi="宋体" w:eastAsia="宋体"/>
        </w:rPr>
        <w:t>、</w:t>
      </w:r>
      <w:r>
        <w:rPr>
          <w:rFonts w:hint="eastAsia" w:ascii="宋体" w:hAnsi="宋体" w:eastAsia="宋体"/>
          <w:szCs w:val="21"/>
        </w:rPr>
        <w:t>“享受本政策支持的市场主体需承诺在获得奖励起若干年内若迁离本区域，则退回相应奖励资金”等类似的规定。</w:t>
      </w:r>
    </w:p>
    <w:p>
      <w:pPr>
        <w:ind w:firstLine="420" w:firstLineChars="200"/>
        <w:rPr>
          <w:rFonts w:ascii="宋体" w:hAnsi="宋体" w:eastAsia="宋体"/>
        </w:rPr>
      </w:pPr>
      <w:r>
        <w:rPr>
          <w:rFonts w:hint="eastAsia" w:ascii="宋体" w:hAnsi="宋体" w:eastAsia="宋体"/>
        </w:rPr>
        <w:t>这种规定</w:t>
      </w:r>
      <w:r>
        <w:rPr>
          <w:rFonts w:hint="eastAsia" w:ascii="宋体" w:hAnsi="宋体" w:eastAsia="宋体"/>
          <w:szCs w:val="21"/>
        </w:rPr>
        <w:t>将受奖企业至少一定年限内不迁离本行政辖区作为获得财政奖补的条件，涉嫌违反《公平竞争审查制度实施细则》第十三（一）条之4：“没有法律、行政法规或者国务院规定依据，对企业注销、破产、挂牌转让、搬迁转移等设定或者变相设定市场退出障碍。”此类不得迁离的要求妨碍了企业经营自由，违反了公平竞争审查的“市场准入和退出标准”。尤其在规定的年限较长的情况下，对企业经营自由的妨碍更为明显。本次评估中，出现此类条款的文件中，大多将经营年限规定为不少于1</w:t>
      </w:r>
      <w:r>
        <w:rPr>
          <w:rFonts w:ascii="宋体" w:hAnsi="宋体" w:eastAsia="宋体"/>
          <w:szCs w:val="21"/>
        </w:rPr>
        <w:t>0</w:t>
      </w:r>
      <w:r>
        <w:rPr>
          <w:rFonts w:hint="eastAsia" w:ascii="宋体" w:hAnsi="宋体" w:eastAsia="宋体"/>
          <w:szCs w:val="21"/>
        </w:rPr>
        <w:t>年。</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也有文件将在本辖区经营年限定为不少于5年。5年时间虽然不是太长，但该文件</w:t>
      </w:r>
      <w:r>
        <w:rPr>
          <w:rFonts w:hint="eastAsia" w:ascii="宋体" w:hAnsi="宋体" w:eastAsia="宋体"/>
          <w:szCs w:val="21"/>
        </w:rPr>
        <w:t>的扶持事项包罗万象，几乎涉及企业知识产权创造、运用、保护、管理、人才培养、培育转化等一切方面，有些情况下企业得到的奖补资金并不多，可能只有几万元，但一律要求5年内不得迁离本辖区。这种规定权利义务严重不对等，对企业不公平。如果说在招商引资中，对外地投资企业予以奖补时，提出较短年限的不迁离要求尚可理解的话，此文件一刀切地要求企业在所有受扶持情况下均不得迁离，明显不合理。第三方机构认为此规定也违反了“市场准入和退出标准”，妨碍了企业经营和竞争自由。</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不过在特殊情况下，要求受财政奖补企业在本地经营期限不得低于特定年限也有一定合理性。如《</w:t>
      </w:r>
      <w:r>
        <w:rPr>
          <w:rFonts w:hint="eastAsia" w:ascii="宋体" w:hAnsi="宋体" w:eastAsia="宋体"/>
          <w:szCs w:val="21"/>
        </w:rPr>
        <w:t>武汉经开区引进重大农业项目奖补实施细则》</w:t>
      </w:r>
      <w:r>
        <w:rPr>
          <w:rFonts w:hint="eastAsia" w:ascii="宋体" w:hAnsi="宋体" w:eastAsia="宋体" w:cs="Times New Roman"/>
          <w:szCs w:val="21"/>
        </w:rPr>
        <w:t>第二（二）条“申请项目奖补条件”规定：“土地流转（使用权或经营权）租期不少于1</w:t>
      </w:r>
      <w:r>
        <w:rPr>
          <w:rFonts w:ascii="宋体" w:hAnsi="宋体" w:eastAsia="宋体" w:cs="Times New Roman"/>
          <w:szCs w:val="21"/>
        </w:rPr>
        <w:t>0</w:t>
      </w:r>
      <w:r>
        <w:rPr>
          <w:rFonts w:hint="eastAsia" w:ascii="宋体" w:hAnsi="宋体" w:eastAsia="宋体" w:cs="Times New Roman"/>
          <w:szCs w:val="21"/>
        </w:rPr>
        <w:t>年。”土地流转租期不少于1</w:t>
      </w:r>
      <w:r>
        <w:rPr>
          <w:rFonts w:ascii="宋体" w:hAnsi="宋体" w:eastAsia="宋体" w:cs="Times New Roman"/>
          <w:szCs w:val="21"/>
        </w:rPr>
        <w:t>0</w:t>
      </w:r>
      <w:r>
        <w:rPr>
          <w:rFonts w:hint="eastAsia" w:ascii="宋体" w:hAnsi="宋体" w:eastAsia="宋体" w:cs="Times New Roman"/>
          <w:szCs w:val="21"/>
        </w:rPr>
        <w:t>年，意味着企业至少1</w:t>
      </w:r>
      <w:r>
        <w:rPr>
          <w:rFonts w:ascii="宋体" w:hAnsi="宋体" w:eastAsia="宋体" w:cs="Times New Roman"/>
          <w:szCs w:val="21"/>
        </w:rPr>
        <w:t>0</w:t>
      </w:r>
      <w:r>
        <w:rPr>
          <w:rFonts w:hint="eastAsia" w:ascii="宋体" w:hAnsi="宋体" w:eastAsia="宋体" w:cs="Times New Roman"/>
          <w:szCs w:val="21"/>
        </w:rPr>
        <w:t>年内不得退出本地农业市场。</w:t>
      </w:r>
      <w:r>
        <w:rPr>
          <w:rFonts w:hint="eastAsia" w:ascii="宋体" w:hAnsi="宋体" w:eastAsia="宋体"/>
          <w:szCs w:val="21"/>
        </w:rPr>
        <w:t>由于农业项目开发受自然条件影响较大，生产周期较长，从保护生态环境，以及从农业产业特殊性角度而言，可以运用公平竞争审查制度的例外规定出台该项措施。当然，政策制定机关应当逐年评估适用例外规定的政策措施的实施效果，形成书面评估报告。</w:t>
      </w:r>
    </w:p>
    <w:p>
      <w:pPr>
        <w:rPr>
          <w:rFonts w:ascii="楷体" w:hAnsi="楷体" w:eastAsia="楷体"/>
        </w:rPr>
      </w:pPr>
      <w:r>
        <w:rPr>
          <w:rFonts w:hint="eastAsia" w:ascii="宋体" w:hAnsi="宋体" w:eastAsia="宋体"/>
        </w:rPr>
        <w:t xml:space="preserve"> </w:t>
      </w:r>
      <w:r>
        <w:rPr>
          <w:rFonts w:ascii="宋体" w:hAnsi="宋体" w:eastAsia="宋体"/>
        </w:rPr>
        <w:t xml:space="preserve">   </w:t>
      </w:r>
      <w:r>
        <w:rPr>
          <w:rFonts w:ascii="楷体" w:hAnsi="楷体" w:eastAsia="楷体"/>
        </w:rPr>
        <w:t>4.</w:t>
      </w:r>
      <w:r>
        <w:rPr>
          <w:rFonts w:hint="eastAsia" w:ascii="楷体" w:hAnsi="楷体" w:eastAsia="楷体"/>
        </w:rPr>
        <w:t>关于对购买本地企业产品或服务的区内企业予以财政奖补</w:t>
      </w:r>
    </w:p>
    <w:p>
      <w:pPr>
        <w:ind w:firstLine="420" w:firstLineChars="200"/>
        <w:rPr>
          <w:rFonts w:ascii="宋体" w:hAnsi="宋体" w:eastAsia="宋体"/>
        </w:rPr>
      </w:pPr>
      <w:r>
        <w:rPr>
          <w:rFonts w:hint="eastAsia" w:ascii="宋体" w:hAnsi="宋体" w:eastAsia="宋体"/>
        </w:rPr>
        <w:t>在本次评估的政策文件中，这类条款也多次出现，</w:t>
      </w:r>
      <w:r>
        <w:rPr>
          <w:rFonts w:hint="eastAsia" w:ascii="宋体" w:hAnsi="宋体" w:eastAsia="宋体"/>
          <w:szCs w:val="21"/>
        </w:rPr>
        <w:t>如在一份某区政府出台的文件中规定：“对区内企业使用本区企业提供的仿真测试服务的，按其使用费的1</w:t>
      </w:r>
      <w:r>
        <w:rPr>
          <w:rFonts w:ascii="宋体" w:hAnsi="宋体" w:eastAsia="宋体"/>
          <w:szCs w:val="21"/>
        </w:rPr>
        <w:t>0%</w:t>
      </w:r>
      <w:r>
        <w:rPr>
          <w:rFonts w:hint="eastAsia" w:ascii="宋体" w:hAnsi="宋体" w:eastAsia="宋体"/>
          <w:szCs w:val="21"/>
        </w:rPr>
        <w:t>对服务使用方给予奖励。”又如另一份某区政府发布的文件有这样的表述：“鼓励区内企业互相采购，对规模以上区内制造业企业购买无资产关联关系的区内制造业企业生产的产品和服务，……给予买方企业当年购买总额的2</w:t>
      </w:r>
      <w:r>
        <w:rPr>
          <w:rFonts w:ascii="宋体" w:hAnsi="宋体" w:eastAsia="宋体"/>
          <w:szCs w:val="21"/>
        </w:rPr>
        <w:t>%</w:t>
      </w:r>
      <w:r>
        <w:rPr>
          <w:rFonts w:hint="eastAsia" w:ascii="宋体" w:hAnsi="宋体" w:eastAsia="宋体"/>
          <w:szCs w:val="21"/>
        </w:rPr>
        <w:t>补贴……。”某开发区管委会在一份文件中规定：“采购区内无资产关联关系工业企业所生产的产品及生产线服务企业的软件等，按照区内采购金额的</w:t>
      </w:r>
      <w:r>
        <w:rPr>
          <w:rFonts w:ascii="宋体" w:hAnsi="宋体" w:eastAsia="宋体"/>
          <w:szCs w:val="21"/>
        </w:rPr>
        <w:t>5%</w:t>
      </w:r>
      <w:r>
        <w:rPr>
          <w:rFonts w:hint="eastAsia" w:ascii="宋体" w:hAnsi="宋体" w:eastAsia="宋体"/>
          <w:szCs w:val="21"/>
        </w:rPr>
        <w:t>给予奖励，单个服务商奖励资金不超过3</w:t>
      </w:r>
      <w:r>
        <w:rPr>
          <w:rFonts w:ascii="宋体" w:hAnsi="宋体" w:eastAsia="宋体"/>
          <w:szCs w:val="21"/>
        </w:rPr>
        <w:t>00</w:t>
      </w:r>
      <w:r>
        <w:rPr>
          <w:rFonts w:hint="eastAsia" w:ascii="宋体" w:hAnsi="宋体" w:eastAsia="宋体"/>
          <w:szCs w:val="21"/>
        </w:rPr>
        <w:t>万元。”</w:t>
      </w:r>
    </w:p>
    <w:p>
      <w:pPr>
        <w:pStyle w:val="10"/>
        <w:snapToGrid w:val="0"/>
        <w:ind w:firstLine="420" w:firstLineChars="200"/>
        <w:rPr>
          <w:szCs w:val="21"/>
        </w:rPr>
      </w:pPr>
      <w:r>
        <w:rPr>
          <w:rFonts w:hint="eastAsia"/>
          <w:szCs w:val="21"/>
        </w:rPr>
        <w:t>该类规定的实质，是政策制定机关以明确要求和给予奖励补贴的方式，限定或变相限定本区经营者经营、购买、使用特定范围（区内）企业提供的产品和服务。由于该规定特别保护了本地经营者，使本地企业的产品和服务能够占领更多的市场份额，从而排斥、限制了外地企业进入本地市场参与竞争。根据《反垄断法》第三十二条及《公平竞争审查制度实施细则》第十三（三）条规定，属于行政限定交易，涉嫌违反公平竞争审查的“市场准入和退出标准”。</w:t>
      </w:r>
    </w:p>
    <w:p>
      <w:pPr>
        <w:rPr>
          <w:rFonts w:ascii="宋体" w:hAnsi="宋体" w:eastAsia="宋体"/>
        </w:rPr>
      </w:pPr>
    </w:p>
    <w:p>
      <w:pPr>
        <w:rPr>
          <w:rFonts w:ascii="黑体" w:hAnsi="黑体" w:eastAsia="黑体"/>
          <w:b/>
          <w:bCs/>
          <w:sz w:val="24"/>
          <w:szCs w:val="24"/>
        </w:rPr>
      </w:pPr>
      <w:r>
        <w:rPr>
          <w:rFonts w:hint="eastAsia" w:ascii="宋体" w:hAnsi="宋体" w:eastAsia="宋体"/>
        </w:rPr>
        <w:t xml:space="preserve"> </w:t>
      </w:r>
      <w:r>
        <w:rPr>
          <w:rFonts w:ascii="宋体" w:hAnsi="宋体" w:eastAsia="宋体"/>
        </w:rPr>
        <w:t xml:space="preserve">  </w:t>
      </w:r>
      <w:r>
        <w:rPr>
          <w:rFonts w:ascii="黑体" w:hAnsi="黑体" w:eastAsia="黑体"/>
          <w:b/>
          <w:bCs/>
          <w:sz w:val="24"/>
          <w:szCs w:val="24"/>
        </w:rPr>
        <w:t xml:space="preserve"> </w:t>
      </w:r>
      <w:r>
        <w:rPr>
          <w:rFonts w:hint="eastAsia" w:ascii="黑体" w:hAnsi="黑体" w:eastAsia="黑体"/>
          <w:b/>
          <w:bCs/>
          <w:sz w:val="24"/>
          <w:szCs w:val="24"/>
        </w:rPr>
        <w:t>三、各评估对象单位公平竞争审查机制建设和制度实施情况</w:t>
      </w:r>
    </w:p>
    <w:p>
      <w:pPr>
        <w:rPr>
          <w:rFonts w:ascii="宋体" w:hAnsi="宋体" w:eastAsia="宋体"/>
        </w:rPr>
      </w:pP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ascii="宋体" w:hAnsi="宋体" w:eastAsia="宋体"/>
          <w:b/>
          <w:bCs/>
        </w:rPr>
        <w:t xml:space="preserve"> </w:t>
      </w:r>
      <w:r>
        <w:rPr>
          <w:rFonts w:hint="eastAsia" w:ascii="宋体" w:hAnsi="宋体" w:eastAsia="宋体"/>
          <w:b/>
          <w:bCs/>
        </w:rPr>
        <w:t>（一）取得的积极成效</w:t>
      </w:r>
    </w:p>
    <w:p>
      <w:pPr>
        <w:ind w:firstLine="420"/>
        <w:rPr>
          <w:rFonts w:ascii="宋体" w:hAnsi="宋体" w:eastAsia="宋体"/>
        </w:rPr>
      </w:pPr>
      <w:r>
        <w:rPr>
          <w:rFonts w:hint="eastAsia" w:ascii="宋体" w:hAnsi="宋体" w:eastAsia="宋体"/>
        </w:rPr>
        <w:t>第三方评估机构详细查阅了4</w:t>
      </w:r>
      <w:r>
        <w:rPr>
          <w:rFonts w:ascii="宋体" w:hAnsi="宋体" w:eastAsia="宋体"/>
        </w:rPr>
        <w:t>0</w:t>
      </w:r>
      <w:r>
        <w:rPr>
          <w:rFonts w:hint="eastAsia" w:ascii="宋体" w:hAnsi="宋体" w:eastAsia="宋体"/>
        </w:rPr>
        <w:t>家评估对象单位填写的调查问卷，对涉及市场主体经济活动的政策措施认真地进行了竞争审查，并与各单位的自我审查情况进行了仔细比对。以上述工作为基础，第三方机构大致掌握了各评估对象单位公平竞争审查机制建设和公平竞争审查制度实施的基本情况。总体看，在上级部门的领导、各单位的自身努力以及武汉市公平竞争审查工作联席会议办公室（市场监管局）的指导和督促下，各相关单位的公平竞争审查机制建设和制度落实取得了较好的成绩，这突出表现在以下方面：</w:t>
      </w:r>
    </w:p>
    <w:p>
      <w:pPr>
        <w:ind w:firstLine="420" w:firstLineChars="200"/>
        <w:rPr>
          <w:rFonts w:ascii="宋体" w:hAnsi="宋体" w:eastAsia="宋体"/>
        </w:rPr>
      </w:pPr>
      <w:r>
        <w:rPr>
          <w:rFonts w:hint="eastAsia" w:ascii="宋体" w:hAnsi="宋体" w:eastAsia="宋体"/>
        </w:rPr>
        <w:t>第一，公平竞争审查意识不断增强。除个别单位提交的涉市场主体活动的政策措施没有留下公平竞争审查记录或者只有简化的公平竞争审查情况统计外，其他所有单位报送的政策文件中，只要自我判断为涉及市场主体经济活动的政策措施，均进行了公平竞争审查，并填写《公平竞争审查表》，形成了书面审查结论。此种情况表明武汉市各评估对象单位的公平竞争审查意识较强，能够自主自愿地对相关政策措施进行自我审查。近年来，武汉市政府高度重视公平竞争审查制度的贯彻实施，市公平竞争审查联席会议办公室多次举办公平竞争审查与竞争政策专题培训，并对各单位公平竞争审查工作进行督察和评估，这些举措推动了各单位公平竞争审查工作的深入开展，无疑也对强化各单位的公平竞争审查意识起到了非常大的作用。当然，公平竞争审查意识还不等于公平竞争意识，强化各单位的公平竞争审查意识不是最终目的，更重要的是要通过强化公平竞争审查意识树立公平竞争理念。政策制定机关只有将公平竞争理念牢记于心，才能坚持竞争政策的基础性地位，避免制定出台排除、限制、扭曲市场竞争的政策措施。</w:t>
      </w:r>
    </w:p>
    <w:p>
      <w:pPr>
        <w:ind w:firstLine="430"/>
        <w:rPr>
          <w:rFonts w:ascii="宋体" w:hAnsi="宋体" w:eastAsia="宋体"/>
        </w:rPr>
      </w:pPr>
      <w:r>
        <w:rPr>
          <w:rFonts w:hint="eastAsia" w:ascii="宋体" w:hAnsi="宋体" w:eastAsia="宋体"/>
        </w:rPr>
        <w:t>第二，公平竞争审查机构指定明确。我国的公平竞争审查首先是政策制定机关内部的自我审查，所以各单位需明确自己的内部审查主体。从各评估对象单位提交的调查问卷及政策措施自我审查表中填写的信息来看，各单位均指定有负责公平竞争审查工作的责任机构，且有专人负责该项工作。</w:t>
      </w:r>
    </w:p>
    <w:p>
      <w:pPr>
        <w:ind w:firstLine="430"/>
        <w:rPr>
          <w:rFonts w:ascii="宋体" w:hAnsi="宋体" w:eastAsia="宋体"/>
        </w:rPr>
      </w:pPr>
      <w:r>
        <w:rPr>
          <w:rFonts w:hint="eastAsia" w:ascii="宋体" w:hAnsi="宋体" w:eastAsia="宋体"/>
        </w:rPr>
        <w:t>政策制定机关的公平竞争审查工作具体由哪家机构负责，国家没有统一规定，可以根据情况自主决定。武汉市公平竞争审查联席会议市直成员单位中，绝大部分都是由本单位内设的法制部门或起草政策措施的业务部门负责公平竞争审查工作。如经信局、市场监管局、国资委、民政局、农业农村局、卫健委、政务服务大数据局等是由单位的法制机构负责审查工作，城管执法委、房管局、城乡建设局、发改委、商务局、税务局、自然资源规划局等规定由政策措施起草机构负责自我审查。除此之外，也有少数单位，如税务局是由单位办公室负责此项工作，地方金融工作局和文化旅游局则在上半年的调查问卷中填写由单位的公平竞争审查领导小组负责审查。</w:t>
      </w:r>
    </w:p>
    <w:p>
      <w:pPr>
        <w:ind w:firstLine="430"/>
        <w:rPr>
          <w:rFonts w:ascii="宋体" w:hAnsi="宋体" w:eastAsia="宋体"/>
        </w:rPr>
      </w:pPr>
      <w:r>
        <w:rPr>
          <w:rFonts w:hint="eastAsia" w:ascii="宋体" w:hAnsi="宋体" w:eastAsia="宋体"/>
        </w:rPr>
        <w:t>在1</w:t>
      </w:r>
      <w:r>
        <w:rPr>
          <w:rFonts w:ascii="宋体" w:hAnsi="宋体" w:eastAsia="宋体"/>
        </w:rPr>
        <w:t>5</w:t>
      </w:r>
      <w:r>
        <w:rPr>
          <w:rFonts w:hint="eastAsia" w:ascii="宋体" w:hAnsi="宋体" w:eastAsia="宋体"/>
        </w:rPr>
        <w:t>家区政府（开发区管委会）中，根据各区公平竞争审查联席会议办公室填报的信息，也主要是政府的法制机构或政策起草机构负责审查，前者如蔡甸区、洪山区、经济技术开发区、黄陂区、江夏区、硚口区等，后者如青山区、东湖生态旅游风景区等。也有少数区级单位在报送材料时，不是以区公平竞争审查联席会议办公室名义报送，而是以政策措施起草单位（如汉阳区发改局、城管局）名义填报，从反映的情况来看，也主要是起草机构自我审查或单位内部的法制处室审查。</w:t>
      </w:r>
    </w:p>
    <w:p>
      <w:pPr>
        <w:ind w:firstLine="420" w:firstLineChars="200"/>
        <w:rPr>
          <w:rFonts w:ascii="宋体" w:hAnsi="宋体" w:eastAsia="宋体"/>
        </w:rPr>
      </w:pPr>
      <w:r>
        <w:rPr>
          <w:rFonts w:hint="eastAsia" w:ascii="宋体" w:hAnsi="宋体" w:eastAsia="宋体"/>
        </w:rPr>
        <w:t>第三，公平竞争审查程序基本合规。各单位出台涉市场主体经济活动的政策措施能较好地遵守相关程序性规定。首先，进行公平竞争审查是政府出台此类政策措施的必经程序，绝大部分评估对象单位都能遵守审查流程，即识别相关政策措施是否属于审查对象、判断是否违反审查标准、分析是否适用例外规定。属于审查对象的，都形成了书面审查结论。其次，向利害关系人或者社会公众征求意见是出台政策措施的一个必经程序，大多数评估对象单位都能在公平竞争审查或者其他环节（如合法性审查）中遵守这一规定，并在书面审查结论中对征求意见情况进行说明。如城乡建设局在制定出台《武汉市建筑市场主体信用管理办法》和《关于加快推进我市全过程工程咨询服务的通知》时，先后多轮向社会公众征求意见，并记载了详细的征求意见采纳情况；城市管理执法委在制定《关于全面推行城市管理领域涉企行政处罚“三张清单”实施包容审慎执法的意见》时，先后组织听取了各区城管部门、委属相关单位和机关处室的意见，在“武汉城管”官网向社会公众征求意见，并组织了专家论证；蔡甸区在制定《关于支持先进制造业企业集聚发展的奖励办法》时，于公平竞争审查表中详细记载了征求意见对象、时间、意见反馈和采纳情况。</w:t>
      </w: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ascii="宋体" w:hAnsi="宋体" w:eastAsia="宋体"/>
          <w:b/>
          <w:bCs/>
        </w:rPr>
        <w:t xml:space="preserve"> </w:t>
      </w:r>
      <w:r>
        <w:rPr>
          <w:rFonts w:hint="eastAsia" w:ascii="宋体" w:hAnsi="宋体" w:eastAsia="宋体"/>
          <w:b/>
          <w:bCs/>
        </w:rPr>
        <w:t>（二）有待进一步改进的问题</w:t>
      </w:r>
    </w:p>
    <w:p>
      <w:pPr>
        <w:ind w:firstLine="420"/>
        <w:rPr>
          <w:rFonts w:ascii="宋体" w:hAnsi="宋体" w:eastAsia="宋体"/>
        </w:rPr>
      </w:pPr>
      <w:r>
        <w:rPr>
          <w:rFonts w:hint="eastAsia" w:ascii="宋体" w:hAnsi="宋体" w:eastAsia="宋体"/>
        </w:rPr>
        <w:t>各评估对象单位202</w:t>
      </w:r>
      <w:r>
        <w:rPr>
          <w:rFonts w:ascii="宋体" w:hAnsi="宋体" w:eastAsia="宋体"/>
        </w:rPr>
        <w:t>1</w:t>
      </w:r>
      <w:r>
        <w:rPr>
          <w:rFonts w:hint="eastAsia" w:ascii="宋体" w:hAnsi="宋体" w:eastAsia="宋体"/>
        </w:rPr>
        <w:t>年的公平竞争审查机制建设和公平竞争审查制度落实工作取得了较好的成效，但也存在一些不容忽视的问题。</w:t>
      </w:r>
    </w:p>
    <w:p>
      <w:pPr>
        <w:ind w:firstLine="420"/>
        <w:rPr>
          <w:rFonts w:ascii="宋体" w:hAnsi="宋体" w:eastAsia="宋体"/>
        </w:rPr>
      </w:pPr>
      <w:r>
        <w:rPr>
          <w:rFonts w:hint="eastAsia" w:ascii="宋体" w:hAnsi="宋体" w:eastAsia="宋体"/>
        </w:rPr>
        <w:t>首先，审查范围有遗漏。各单位将审查对象直接限定为规范性文件及其他政策性文件，对不是以“正式文件”形式表现出来的“一事一议”形式的具体政策措施，基本都没有进行公平竞争审查。从各单位提交的政策措施材料来看，在招商引资、促进产业发展等方面，政府部门惯常采用“一事一议”方式对重点引进企业、贡献重大企业予以财政奖励，现实中也会在与特定企业签订的战略合作协议中予以特定的财政支持。这些所谓的“一事一议”、“一企一策”形式的具体政策措施，都应当进行公平竞争审查，评估对市场竞争的影响，但很少有单位提交此类政策措施的公平竞争审查材料。</w:t>
      </w:r>
    </w:p>
    <w:p>
      <w:pPr>
        <w:ind w:firstLine="420"/>
        <w:rPr>
          <w:rFonts w:ascii="宋体" w:hAnsi="宋体" w:eastAsia="宋体"/>
        </w:rPr>
      </w:pPr>
      <w:r>
        <w:rPr>
          <w:rFonts w:hint="eastAsia" w:ascii="宋体" w:hAnsi="宋体" w:eastAsia="宋体"/>
        </w:rPr>
        <w:t>其次，少数评估对象单位对内部审查机构的指定不稳定或者缺位的现象仍然存在。如两家市直单位在上半年的调查问卷中填写本单位的竞争审查机构是公平竞争审查领导小组，在下半年的调查问卷中则又分别改为本单位办公室和政策法制处，这说明该单位内部审查机构仍处于经常变动之中。另一家市直单位将某律师事务所指定为本单位的公平竞争审查责任机构，这也是不妥当的。借助律师事务所等专业机构的力量开展公平竞争审查工作无可厚非，甚至应该提倡，但政策制定机关首先应明确自己内部的审查责任主体，外部力量只是起到辅助作用。</w:t>
      </w:r>
    </w:p>
    <w:p>
      <w:pPr>
        <w:ind w:firstLine="420"/>
        <w:rPr>
          <w:rFonts w:ascii="宋体" w:hAnsi="宋体" w:eastAsia="宋体"/>
        </w:rPr>
      </w:pPr>
      <w:r>
        <w:rPr>
          <w:rFonts w:hint="eastAsia" w:ascii="宋体" w:hAnsi="宋体" w:eastAsia="宋体"/>
        </w:rPr>
        <w:t>再者，审查工作规范程度还有欠缺。这主要表现在以下方面：一是个别单位提交的涉市场主体经济活动的政策措施材料中没有附上公平竞争审查表。《某区关于促进工业经济高质量发展的政策措施》即没有留下公平竞争审查记录。根据《公平竞争审查制度实施细则》的规定，出台政策措施没有形成书面审查结论的，视为未进行公平竞争审查。二是个别单位在政策措施出台时没有进行公平竞争审查，而在统一清理时以统计性质的自查情况表替代书面审查结论。如《某区关于疫后重振补短板强功能十大工程三年行动实施意见》等就是以《滥用行政权力排除限制竞争行为自查情况表》替代《公平竞争审查表》。三是部分单位对征求意见理解有偏颇，特别注重征求其他相关行政部门的意见，而对利害关系人的意见征求不够。排除限制竞争的政策措施，影响最大的就是包括相关市场经营者、消费者在内的利害关系人，征求他们的意见最为关键。四是一些单位在公平竞争审查表中对征求意见情况记载过于简单，仅填写向社会公众或利害关系人征求过意见，而没有对征求意见对象、范围、方式及采纳情况的说明。</w:t>
      </w:r>
    </w:p>
    <w:p>
      <w:pPr>
        <w:ind w:firstLine="420" w:firstLineChars="200"/>
        <w:rPr>
          <w:rFonts w:ascii="宋体" w:hAnsi="宋体" w:eastAsia="宋体"/>
        </w:rPr>
      </w:pPr>
      <w:r>
        <w:rPr>
          <w:rFonts w:hint="eastAsia" w:ascii="宋体" w:hAnsi="宋体" w:eastAsia="宋体"/>
        </w:rPr>
        <w:t>最后，审查质量有待提高。一些单位工作人员关于公平竞争审查方面的专业知识比较欠缺，致使不能准确、清晰地向市公平竞争审查联席会议办公室及第三方评估机构提供相关信息。这种情况去年存在，今年仍然存在。最典型的表现就是，一方面，在调查问卷中填写本单位出台规章、规范性文件及其他政策措施共若干件，其中0件涉及市场主体经济活动；另一方面，又填写本单位有若干件政策措施进行了公平竞争审查，并形成了书面审查结论，还报送了公平竞争审查表。这种前后自相矛盾的表述，不完全是工作态度不到位所致，也与缺少关于公平竞争审查对象方面的基本专业知识有关。另外，从对本年度政策措施的公平竞争审查复核情况来看，评估对象单位负责公平竞争审查工作人员的业务能力也需要大幅提升。本次评估中，第三方机构在</w:t>
      </w:r>
      <w:r>
        <w:rPr>
          <w:rFonts w:ascii="宋体" w:hAnsi="宋体" w:eastAsia="宋体"/>
        </w:rPr>
        <w:t>31</w:t>
      </w:r>
      <w:r>
        <w:rPr>
          <w:rFonts w:hint="eastAsia" w:ascii="宋体" w:hAnsi="宋体" w:eastAsia="宋体"/>
        </w:rPr>
        <w:t>份涉及市场主体经济活动的政策文件中，发现</w:t>
      </w:r>
      <w:r>
        <w:rPr>
          <w:rFonts w:ascii="宋体" w:hAnsi="宋体" w:eastAsia="宋体"/>
        </w:rPr>
        <w:t>61</w:t>
      </w:r>
      <w:r>
        <w:rPr>
          <w:rFonts w:hint="eastAsia" w:ascii="宋体" w:hAnsi="宋体" w:eastAsia="宋体"/>
        </w:rPr>
        <w:t>处违反公平竞争审查标准的内容。这</w:t>
      </w:r>
      <w:r>
        <w:rPr>
          <w:rFonts w:ascii="宋体" w:hAnsi="宋体" w:eastAsia="宋体"/>
        </w:rPr>
        <w:t>31</w:t>
      </w:r>
      <w:r>
        <w:rPr>
          <w:rFonts w:hint="eastAsia" w:ascii="宋体" w:hAnsi="宋体" w:eastAsia="宋体"/>
        </w:rPr>
        <w:t>份文件分布于多家单位，其中没有任何一家单位在公平竞争审查中发现文件存在的问题，相关政策措施也没有因为公平竞争审查发现问题而进行过修改。其中的原因，一个很重要的方面就是公平竞争审查业务能力无法满足工作的需要。</w:t>
      </w:r>
    </w:p>
    <w:p>
      <w:pPr>
        <w:rPr>
          <w:rFonts w:ascii="宋体" w:hAnsi="宋体" w:eastAsia="宋体"/>
        </w:rPr>
      </w:pPr>
    </w:p>
    <w:p>
      <w:pPr>
        <w:rPr>
          <w:rFonts w:ascii="黑体" w:hAnsi="黑体" w:eastAsia="黑体"/>
          <w:b/>
          <w:bCs/>
          <w:sz w:val="24"/>
          <w:szCs w:val="24"/>
        </w:rPr>
      </w:pPr>
      <w:r>
        <w:rPr>
          <w:rFonts w:hint="eastAsia" w:ascii="宋体" w:hAnsi="宋体" w:eastAsia="宋体"/>
        </w:rPr>
        <w:t xml:space="preserve"> </w:t>
      </w:r>
      <w:r>
        <w:rPr>
          <w:rFonts w:ascii="宋体" w:hAnsi="宋体" w:eastAsia="宋体"/>
        </w:rPr>
        <w:t xml:space="preserve">  </w:t>
      </w:r>
      <w:r>
        <w:rPr>
          <w:rFonts w:ascii="黑体" w:hAnsi="黑体" w:eastAsia="黑体"/>
          <w:b/>
          <w:bCs/>
          <w:sz w:val="24"/>
          <w:szCs w:val="24"/>
        </w:rPr>
        <w:t xml:space="preserve"> </w:t>
      </w:r>
      <w:r>
        <w:rPr>
          <w:rFonts w:hint="eastAsia" w:ascii="黑体" w:hAnsi="黑体" w:eastAsia="黑体"/>
          <w:b/>
          <w:bCs/>
          <w:sz w:val="24"/>
          <w:szCs w:val="24"/>
        </w:rPr>
        <w:t>四、武汉市强化公平竞争审查制度实施的对策建议</w:t>
      </w:r>
    </w:p>
    <w:p>
      <w:pPr>
        <w:rPr>
          <w:rFonts w:ascii="宋体" w:hAnsi="宋体" w:eastAsia="宋体"/>
        </w:rPr>
      </w:pPr>
    </w:p>
    <w:p>
      <w:pPr>
        <w:ind w:firstLine="420" w:firstLineChars="200"/>
        <w:rPr>
          <w:rFonts w:ascii="宋体" w:hAnsi="宋体" w:eastAsia="宋体"/>
        </w:rPr>
      </w:pPr>
      <w:r>
        <w:rPr>
          <w:rFonts w:hint="eastAsia" w:ascii="宋体" w:hAnsi="宋体" w:eastAsia="宋体"/>
        </w:rPr>
        <w:t>本次武汉市公平竞争审查第三方评估工作，评估对象单位较全面，审查复核的政策措施样本较多，一定程度上能够反映出目前武汉市公平竞争审查工作的样貌，从中展现出的实施成效非常值得肯定，但是暴露出的问题也值得正视。为进一步提高各单位的公平竞争审查质量，推进武汉市公平竞争审查工作进一步深入开展，第三方评估机构提出如下建议。</w:t>
      </w:r>
    </w:p>
    <w:p>
      <w:pPr>
        <w:rPr>
          <w:rFonts w:ascii="宋体" w:hAnsi="宋体" w:eastAsia="宋体"/>
        </w:rPr>
      </w:pP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ascii="宋体" w:hAnsi="宋体" w:eastAsia="宋体"/>
          <w:b/>
          <w:bCs/>
        </w:rPr>
        <w:t xml:space="preserve"> </w:t>
      </w:r>
      <w:r>
        <w:rPr>
          <w:rFonts w:hint="eastAsia" w:ascii="宋体" w:hAnsi="宋体" w:eastAsia="宋体"/>
          <w:b/>
          <w:bCs/>
        </w:rPr>
        <w:t>（一）对各评估对象单位的建议</w:t>
      </w:r>
    </w:p>
    <w:p>
      <w:pPr>
        <w:ind w:firstLine="420" w:firstLineChars="20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完善审查机制，规范审查流程</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目前武汉市各评估对象单位指定的内部审查机构主要有两种情况：一是起草政策措施的业务机构自查，二是单位法制处室审查。这两种做法都可以，各单位可以根据自己的情况自主决定，但内部审查机构一定要明确，直接指定外部专业机构为本单位的公平竞争审查责任机构是不合适的。</w:t>
      </w:r>
    </w:p>
    <w:p>
      <w:pPr>
        <w:ind w:firstLine="420"/>
        <w:rPr>
          <w:rFonts w:ascii="宋体" w:hAnsi="宋体" w:eastAsia="宋体"/>
          <w:szCs w:val="21"/>
        </w:rPr>
      </w:pPr>
      <w:r>
        <w:rPr>
          <w:rFonts w:hint="eastAsia" w:ascii="宋体" w:hAnsi="宋体" w:eastAsia="宋体"/>
        </w:rPr>
        <w:t>从切实提高公平竞争审查工作实效的角度考虑，对市直单位，采取政策措施起草机构自查然后提交单位法制部门复核的模式，可能效果更好；对区政府（开发区管委会）而言，</w:t>
      </w:r>
      <w:r>
        <w:rPr>
          <w:rFonts w:hint="eastAsia" w:ascii="宋体" w:hAnsi="宋体" w:eastAsia="宋体"/>
          <w:szCs w:val="21"/>
        </w:rPr>
        <w:t>可以明确规定由起草政策措施的业务单位自我审查，然后统一提交政府法制部门或者市场监管部门复审。</w:t>
      </w:r>
      <w:r>
        <w:rPr>
          <w:rFonts w:hint="eastAsia" w:ascii="宋体" w:hAnsi="宋体" w:eastAsia="宋体"/>
          <w:szCs w:val="21"/>
          <w:shd w:val="clear" w:color="auto" w:fill="FFFFFF"/>
        </w:rPr>
        <w:t>2</w:t>
      </w:r>
      <w:r>
        <w:rPr>
          <w:rFonts w:ascii="宋体" w:hAnsi="宋体" w:eastAsia="宋体"/>
          <w:szCs w:val="21"/>
          <w:shd w:val="clear" w:color="auto" w:fill="FFFFFF"/>
        </w:rPr>
        <w:t>020</w:t>
      </w:r>
      <w:r>
        <w:rPr>
          <w:rFonts w:hint="eastAsia" w:ascii="宋体" w:hAnsi="宋体" w:eastAsia="宋体"/>
          <w:szCs w:val="21"/>
          <w:shd w:val="clear" w:color="auto" w:fill="FFFFFF"/>
        </w:rPr>
        <w:t>年《市场监管总局等四部门关于进一步推进公平竞争审查工作的通知》</w:t>
      </w:r>
      <w:r>
        <w:rPr>
          <w:rFonts w:hint="eastAsia" w:ascii="宋体" w:hAnsi="宋体" w:eastAsia="宋体"/>
        </w:rPr>
        <w:t>鼓励有条件的地方实行机关内部统一审查，或者由内部业务机构初审后提交特定机构复核；对拟以地方各级人民政府名义出台的政策措施，鼓励由本级市场监管部门会同起草部门在起草过程中进行公平竞争审查。</w:t>
      </w:r>
    </w:p>
    <w:p>
      <w:pPr>
        <w:ind w:firstLine="420" w:firstLineChars="200"/>
        <w:rPr>
          <w:rFonts w:ascii="宋体" w:hAnsi="宋体" w:eastAsia="宋体"/>
        </w:rPr>
      </w:pPr>
      <w:r>
        <w:rPr>
          <w:rFonts w:hint="eastAsia" w:ascii="宋体" w:hAnsi="宋体" w:eastAsia="宋体"/>
        </w:rPr>
        <w:t>各单位公平竞争审查中很重要的一个环节是征求意见。征求利害关系人意见或向社会公开征求意见是必选动作，咨询专家学者、法律顾问、专业机构意见是自选动作。2</w:t>
      </w:r>
      <w:r>
        <w:rPr>
          <w:rFonts w:ascii="宋体" w:hAnsi="宋体" w:eastAsia="宋体"/>
        </w:rPr>
        <w:t>021</w:t>
      </w:r>
      <w:r>
        <w:rPr>
          <w:rFonts w:hint="eastAsia" w:ascii="宋体" w:hAnsi="宋体" w:eastAsia="宋体"/>
        </w:rPr>
        <w:t>年6月印发的《公平竞争审查制度实施细则》已经明确规定，在起草政策措施的其他环节（如合法性审查）已征求过利害关系人意见或者向社会公开征求意见的，可以不再专门就公平竞争审查问题征求意见。这减轻了公平竞争审查工作负担，但在书面审查结论（公平竞争审查表）中也应对在合法性审查等其他环节中进行的意见征求情况予以说明。特别是不能以简单的情况统计表替代书面审查结论，否则难以实现公平竞争审查的全程留痕和可回溯管理。</w:t>
      </w:r>
    </w:p>
    <w:p>
      <w:pPr>
        <w:ind w:firstLine="420" w:firstLineChars="200"/>
        <w:rPr>
          <w:rFonts w:ascii="宋体" w:hAnsi="宋体" w:eastAsia="宋体"/>
        </w:rPr>
      </w:pPr>
      <w:r>
        <w:rPr>
          <w:rFonts w:hint="eastAsia" w:ascii="宋体" w:hAnsi="宋体" w:eastAsia="宋体"/>
        </w:rPr>
        <w:t>2.审查对象不遗漏，应审尽审</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本次第三方评估，各单位提交的均是正式文件形式的政策措施，而对“一事一议”、“一企一策”形式的具体政策措施未提供。这表明，各评估对象单位还未有对“一事一议”形式政策措施进行审查的意识，也没有实际行动。这种重大遗漏现象是不符合我国当前公平竞争审查制度要求的。建议各单位予以特别注意。</w:t>
      </w:r>
    </w:p>
    <w:p>
      <w:pPr>
        <w:ind w:firstLine="420" w:firstLineChars="200"/>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配置专业人员，提升审查工作质量</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本次第三方评估注意到，以前我国地方政府政策措施中普遍流行的地方封锁、行业垄断、行政限定交易现象大量减少，武汉市各单位在这方面也取得了长足的进步，但仍存在一些较为明显的排除、限制竞争现象，而在自我审查中并没有被发现。所以，各单位公平竞争审查工作质量还需要进一步提高。首先，单位领导应高度重视此项工作，并安排学有所长的工作人员负责此项工作。此外，各单位应创造条件，推动审查人员通过进修培训等提升业务水平。</w:t>
      </w:r>
    </w:p>
    <w:p>
      <w:pPr>
        <w:rPr>
          <w:rFonts w:ascii="宋体" w:hAnsi="宋体" w:eastAsia="宋体"/>
          <w:b/>
          <w:bCs/>
        </w:rPr>
      </w:pPr>
      <w:r>
        <w:rPr>
          <w:rFonts w:hint="eastAsia" w:ascii="宋体" w:hAnsi="宋体" w:eastAsia="宋体"/>
        </w:rPr>
        <w:t xml:space="preserve"> </w:t>
      </w:r>
      <w:r>
        <w:rPr>
          <w:rFonts w:ascii="宋体" w:hAnsi="宋体" w:eastAsia="宋体"/>
        </w:rPr>
        <w:t xml:space="preserve">  </w:t>
      </w:r>
      <w:r>
        <w:rPr>
          <w:rFonts w:ascii="宋体" w:hAnsi="宋体" w:eastAsia="宋体"/>
          <w:b/>
          <w:bCs/>
        </w:rPr>
        <w:t xml:space="preserve"> </w:t>
      </w:r>
      <w:r>
        <w:rPr>
          <w:rFonts w:hint="eastAsia" w:ascii="宋体" w:hAnsi="宋体" w:eastAsia="宋体"/>
          <w:b/>
          <w:bCs/>
        </w:rPr>
        <w:t>（二）对武汉市公平竞争审查联席会议办公室（市场监管局）的建议</w:t>
      </w:r>
    </w:p>
    <w:p>
      <w:pPr>
        <w:rPr>
          <w:rFonts w:ascii="宋体" w:hAnsi="宋体" w:eastAsia="宋体"/>
        </w:rPr>
      </w:pPr>
      <w:r>
        <w:rPr>
          <w:rFonts w:hint="eastAsia" w:ascii="宋体" w:hAnsi="宋体" w:eastAsia="宋体"/>
        </w:rPr>
        <w:t xml:space="preserve"> </w:t>
      </w:r>
      <w:r>
        <w:rPr>
          <w:rFonts w:ascii="宋体" w:hAnsi="宋体" w:eastAsia="宋体"/>
        </w:rPr>
        <w:t xml:space="preserve">   1.</w:t>
      </w:r>
      <w:r>
        <w:rPr>
          <w:rFonts w:hint="eastAsia" w:ascii="宋体" w:hAnsi="宋体" w:eastAsia="宋体"/>
        </w:rPr>
        <w:t>持续加强业务培训</w:t>
      </w:r>
    </w:p>
    <w:p>
      <w:pPr>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本年度，武汉市公平竞争审查联席会议办公室（市场监管局）组织了多场反垄断、公平竞争审查及反不正当竞争方面的业务培训，各评估对象单位的公平竞争审查意识普遍增强，审查人员业务水平普遍有所提高。但由于公平竞争审查工作专业化程度高、涉及知识面广泛，一些专业领域的政策措施又非常复杂，相关培训工作需要持续、深入开展，绝非一蹴而就。在各单位提交的调查问卷中，很多都认为专业人员力量薄弱，公平竞争审查专业知识能力亟待提高是目前最大的困难，因此很多单位都建议市公平竞争审查工作联席会议办公室“加强业务培训力度，提升业务能力”、“多组织相关业务培训”、“加强公平竞争审查工作培训及经验交流”等。</w:t>
      </w:r>
    </w:p>
    <w:p>
      <w:pPr>
        <w:rPr>
          <w:rFonts w:ascii="宋体" w:hAnsi="宋体" w:eastAsia="宋体"/>
        </w:rPr>
      </w:pPr>
      <w:r>
        <w:rPr>
          <w:rFonts w:hint="eastAsia" w:ascii="宋体" w:hAnsi="宋体" w:eastAsia="宋体"/>
        </w:rPr>
        <w:t xml:space="preserve"> </w:t>
      </w:r>
      <w:r>
        <w:rPr>
          <w:rFonts w:ascii="宋体" w:hAnsi="宋体" w:eastAsia="宋体"/>
        </w:rPr>
        <w:t xml:space="preserve">   2.</w:t>
      </w:r>
      <w:r>
        <w:rPr>
          <w:rFonts w:hint="eastAsia" w:ascii="宋体" w:hAnsi="宋体" w:eastAsia="宋体"/>
        </w:rPr>
        <w:t>持续发挥统筹协调和督导作用</w:t>
      </w:r>
    </w:p>
    <w:p>
      <w:pPr>
        <w:ind w:firstLine="420" w:firstLineChars="200"/>
        <w:rPr>
          <w:rFonts w:ascii="宋体" w:hAnsi="宋体" w:eastAsia="宋体"/>
        </w:rPr>
      </w:pPr>
      <w:r>
        <w:rPr>
          <w:rFonts w:hint="eastAsia" w:ascii="宋体" w:hAnsi="宋体" w:eastAsia="宋体"/>
        </w:rPr>
        <w:t>市公平竞争审查工作联席会议办公室在推进本市公平竞争审查工作深入实施中扮演着很关键的角色。不仅要组织各成员单位审查人员的业务培训，组织进行综合性的第三方评估，而且也要对各单位的公平竞争审查日常工作进行指导和监督。正因为发挥的作用重要，各评估对象单位事实上已经对其抱有很高的期望，形成了一定的依赖。从调查问卷来看，既有单位提出建立公平竞争审查专家库（已建立）、细化审查程序和规则、编制讲解典型案例甚至对公平竞争审查表填写进行指导的建议，更有单位建议将区级联席会议成员单位纳入培训范围、指导区级联席会议进行第三方评估等。第三方评估机构建议武汉市公平竞争审查工作联席会议办公室充分吸纳各单位的合理意见和建议，持续发挥统筹协调和督导作用。</w:t>
      </w:r>
    </w:p>
    <w:p>
      <w:pPr>
        <w:rPr>
          <w:rFonts w:ascii="宋体" w:hAnsi="宋体" w:eastAsia="宋体"/>
          <w:b/>
          <w:bCs/>
        </w:rPr>
      </w:pPr>
      <w:r>
        <w:rPr>
          <w:rFonts w:ascii="宋体" w:hAnsi="宋体" w:eastAsia="宋体"/>
        </w:rPr>
        <w:t xml:space="preserve">   </w:t>
      </w:r>
      <w:r>
        <w:rPr>
          <w:rFonts w:ascii="宋体" w:hAnsi="宋体" w:eastAsia="宋体"/>
          <w:b/>
          <w:bCs/>
        </w:rPr>
        <w:t xml:space="preserve"> </w:t>
      </w:r>
      <w:r>
        <w:rPr>
          <w:rFonts w:hint="eastAsia" w:ascii="宋体" w:hAnsi="宋体" w:eastAsia="宋体"/>
          <w:b/>
          <w:bCs/>
        </w:rPr>
        <w:t>（三）对上级政府的建议</w:t>
      </w:r>
    </w:p>
    <w:p>
      <w:pPr>
        <w:ind w:firstLine="420" w:firstLineChars="20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建立公平竞争审查的刚性约束机制</w:t>
      </w:r>
    </w:p>
    <w:p>
      <w:pPr>
        <w:ind w:firstLine="420" w:firstLineChars="200"/>
        <w:rPr>
          <w:rFonts w:ascii="宋体" w:hAnsi="宋体" w:eastAsia="宋体"/>
        </w:rPr>
      </w:pPr>
      <w:r>
        <w:rPr>
          <w:rFonts w:hint="eastAsia" w:ascii="宋体" w:hAnsi="宋体" w:eastAsia="宋体"/>
        </w:rPr>
        <w:t>行政机关制定涉及市场主体经济活动的政策措施时必须进行公平竞争审查，但如果怠于审查甚至不审查不会产生什么不利后果，或者积极审查也不会获得明显的正面益处，则长此以往，政策制定机关进行公平竞争审查的动力和压力就会减弱。因此，在公平竞争审查制度还没有法制化，不具有法律责任的强制约束力的当下，应考虑将各单位公平竞争审查工作落实情况纳入年度考核，并在考核指标中占据一定比重。当然，这需要本级政府进行统一部署，而非公平竞争审查工作联席会议办公室能够独自决定。地方政府应当推动建立公平竞争审查刚性约束机制，将公平竞争审查制度落实情况纳入经济社会发展综合考核、依法行政考核、法治政府建设考核或者营商环境建设考核等评价指标体系中。</w:t>
      </w:r>
    </w:p>
    <w:p>
      <w:pPr>
        <w:rPr>
          <w:rFonts w:ascii="宋体" w:hAnsi="宋体" w:eastAsia="宋体"/>
        </w:rPr>
      </w:pPr>
      <w:r>
        <w:rPr>
          <w:rFonts w:hint="eastAsia" w:ascii="宋体" w:hAnsi="宋体" w:eastAsia="宋体"/>
        </w:rPr>
        <w:t xml:space="preserve"> </w:t>
      </w:r>
      <w:r>
        <w:rPr>
          <w:rFonts w:ascii="宋体" w:hAnsi="宋体" w:eastAsia="宋体"/>
        </w:rPr>
        <w:t xml:space="preserve">   2.</w:t>
      </w:r>
      <w:r>
        <w:rPr>
          <w:rFonts w:hint="eastAsia" w:ascii="宋体" w:hAnsi="宋体" w:eastAsia="宋体"/>
        </w:rPr>
        <w:t>建立统一的政策措施数据库</w:t>
      </w:r>
    </w:p>
    <w:p>
      <w:pPr>
        <w:ind w:firstLine="420" w:firstLineChars="200"/>
        <w:rPr>
          <w:rFonts w:ascii="宋体" w:hAnsi="宋体" w:eastAsia="宋体"/>
        </w:rPr>
      </w:pPr>
      <w:r>
        <w:rPr>
          <w:rFonts w:hint="eastAsia" w:ascii="宋体" w:hAnsi="宋体" w:eastAsia="宋体"/>
        </w:rPr>
        <w:t>不论是公平竞争审查工作联席会议办公室对成员单位进行事后检查、抽查，还是第三方评估机构进行综合性评估，都需要得到完整的原始政策措施材料。现在一般的做法是由各单位自行提供涉及市场主体经济活动的政策措施以供检查或评估。但由于相关知识欠缺或者工作失误，工作人员有可能错误分析文件的性质，将一部分涉及市场主体经济活动的政策措施误认为没有涉及市场主体经济活动，从而不予提供。而且由于“做多错多、不做不错”现象的客观存在，工作人员也有可能故意不完全提供涉及市场主体经济活动的政策措施，从而导致政策措施（包括“一事一议”形式的具体政策措施）不能应审尽审。这种情况下，公平竞争审查督导部门和第三方机构进行检查、评估的文件样本不全面，最后得出的结论会出现偏差，进而对各单位及工作人员年度考核以及责任承担会带来影响。因此，第三方评估机构建议上级政府出面，协调相关部门建立统一的政府政策措施数据库，并通过技术上的设计，为公平竞争审查制度实施提供方便。</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val="0"/>
        <w:spacing w:line="240" w:lineRule="auto"/>
        <w:ind w:firstLine="843" w:firstLineChars="400"/>
        <w:jc w:val="center"/>
        <w:rPr>
          <w:rFonts w:ascii="楷体" w:hAnsi="楷体" w:eastAsia="楷体"/>
          <w:b/>
          <w:bCs/>
          <w:szCs w:val="21"/>
        </w:rPr>
      </w:pPr>
      <w:r>
        <w:rPr>
          <w:rFonts w:hint="eastAsia" w:ascii="楷体" w:hAnsi="楷体" w:eastAsia="楷体"/>
          <w:b/>
          <w:bCs/>
          <w:szCs w:val="21"/>
        </w:rPr>
        <w:t>表</w:t>
      </w:r>
      <w:r>
        <w:rPr>
          <w:rFonts w:ascii="楷体" w:hAnsi="楷体" w:eastAsia="楷体"/>
          <w:b/>
          <w:bCs/>
          <w:szCs w:val="21"/>
        </w:rPr>
        <w:t xml:space="preserve">2. </w:t>
      </w:r>
      <w:r>
        <w:rPr>
          <w:rFonts w:hint="eastAsia" w:ascii="楷体" w:hAnsi="楷体" w:eastAsia="楷体"/>
          <w:b/>
          <w:bCs/>
          <w:szCs w:val="21"/>
        </w:rPr>
        <w:t>202</w:t>
      </w:r>
      <w:r>
        <w:rPr>
          <w:rFonts w:ascii="楷体" w:hAnsi="楷体" w:eastAsia="楷体"/>
          <w:b/>
          <w:bCs/>
          <w:szCs w:val="21"/>
        </w:rPr>
        <w:t>1</w:t>
      </w:r>
      <w:r>
        <w:rPr>
          <w:rFonts w:hint="eastAsia" w:ascii="楷体" w:hAnsi="楷体" w:eastAsia="楷体"/>
          <w:b/>
          <w:bCs/>
          <w:szCs w:val="21"/>
        </w:rPr>
        <w:t>年武汉市公平竞争审查第三方评估</w:t>
      </w:r>
    </w:p>
    <w:p>
      <w:pPr>
        <w:widowControl w:val="0"/>
        <w:spacing w:line="240" w:lineRule="auto"/>
        <w:ind w:firstLine="843" w:firstLineChars="400"/>
        <w:jc w:val="center"/>
        <w:rPr>
          <w:rFonts w:ascii="楷体" w:hAnsi="楷体" w:eastAsia="楷体"/>
          <w:b/>
          <w:bCs/>
          <w:szCs w:val="21"/>
        </w:rPr>
      </w:pPr>
      <w:r>
        <w:rPr>
          <w:rFonts w:hint="eastAsia" w:ascii="楷体" w:hAnsi="楷体" w:eastAsia="楷体"/>
          <w:b/>
          <w:bCs/>
          <w:szCs w:val="21"/>
        </w:rPr>
        <w:t>涉嫌排除限制竞争政策措施汇总表</w:t>
      </w:r>
    </w:p>
    <w:p>
      <w:pPr>
        <w:widowControl w:val="0"/>
        <w:spacing w:line="240" w:lineRule="auto"/>
        <w:jc w:val="both"/>
        <w:rPr>
          <w:rFonts w:ascii="宋体" w:hAnsi="宋体" w:eastAsia="宋体"/>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14"/>
        <w:gridCol w:w="823"/>
        <w:gridCol w:w="2277"/>
        <w:gridCol w:w="921"/>
        <w:gridCol w:w="812"/>
        <w:gridCol w:w="674"/>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编号</w:t>
            </w:r>
          </w:p>
        </w:tc>
        <w:tc>
          <w:tcPr>
            <w:tcW w:w="1714"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文件名称</w:t>
            </w:r>
          </w:p>
        </w:tc>
        <w:tc>
          <w:tcPr>
            <w:tcW w:w="823"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发文单位</w:t>
            </w:r>
          </w:p>
        </w:tc>
        <w:tc>
          <w:tcPr>
            <w:tcW w:w="2277"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涉嫌排除限制竞争条款</w:t>
            </w:r>
          </w:p>
        </w:tc>
        <w:tc>
          <w:tcPr>
            <w:tcW w:w="921"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单位审查结论</w:t>
            </w:r>
          </w:p>
        </w:tc>
        <w:tc>
          <w:tcPr>
            <w:tcW w:w="812" w:type="dxa"/>
          </w:tcPr>
          <w:p>
            <w:pPr>
              <w:widowControl w:val="0"/>
              <w:spacing w:line="240" w:lineRule="auto"/>
              <w:jc w:val="both"/>
              <w:rPr>
                <w:rFonts w:ascii="宋体" w:hAnsi="宋体" w:eastAsia="宋体"/>
              </w:rPr>
            </w:pPr>
            <w:r>
              <w:rPr>
                <w:rFonts w:hint="eastAsia" w:ascii="宋体" w:hAnsi="宋体" w:eastAsia="宋体"/>
              </w:rPr>
              <w:t>第三方评估结论</w:t>
            </w:r>
          </w:p>
        </w:tc>
        <w:tc>
          <w:tcPr>
            <w:tcW w:w="674" w:type="dxa"/>
          </w:tcPr>
          <w:p>
            <w:pPr>
              <w:widowControl w:val="0"/>
              <w:spacing w:line="240" w:lineRule="auto"/>
              <w:jc w:val="both"/>
              <w:rPr>
                <w:rFonts w:ascii="宋体" w:hAnsi="宋体" w:eastAsia="宋体"/>
              </w:rPr>
            </w:pPr>
            <w:r>
              <w:rPr>
                <w:rFonts w:hint="eastAsia" w:ascii="宋体" w:hAnsi="宋体" w:eastAsia="宋体"/>
              </w:rPr>
              <w:t>第三方评估建议</w:t>
            </w:r>
          </w:p>
        </w:tc>
        <w:tc>
          <w:tcPr>
            <w:tcW w:w="853"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napToGrid w:val="0"/>
              <w:spacing w:line="240" w:lineRule="auto"/>
              <w:jc w:val="both"/>
              <w:rPr>
                <w:rFonts w:ascii="Times New Roman" w:hAnsi="Times New Roman" w:eastAsia="宋体" w:cs="Times New Roman"/>
                <w:szCs w:val="21"/>
              </w:rPr>
            </w:pPr>
            <w:r>
              <w:rPr>
                <w:rFonts w:hint="eastAsia" w:ascii="Times New Roman" w:hAnsi="Times New Roman" w:eastAsia="宋体" w:cs="Times New Roman"/>
                <w:szCs w:val="21"/>
              </w:rPr>
              <w:t>1</w:t>
            </w:r>
          </w:p>
        </w:tc>
        <w:tc>
          <w:tcPr>
            <w:tcW w:w="1714" w:type="dxa"/>
          </w:tcPr>
          <w:p>
            <w:pPr>
              <w:widowControl w:val="0"/>
              <w:snapToGrid w:val="0"/>
              <w:spacing w:line="240" w:lineRule="auto"/>
              <w:jc w:val="both"/>
              <w:rPr>
                <w:rFonts w:ascii="Times New Roman" w:hAnsi="Times New Roman" w:eastAsia="宋体" w:cs="Times New Roman"/>
                <w:szCs w:val="21"/>
              </w:rPr>
            </w:pPr>
            <w:r>
              <w:rPr>
                <w:rFonts w:hint="eastAsia" w:ascii="宋体" w:hAnsi="宋体" w:eastAsia="宋体"/>
                <w:szCs w:val="21"/>
              </w:rPr>
              <w:t>武汉市残疾人职业培训补贴办法</w:t>
            </w:r>
          </w:p>
        </w:tc>
        <w:tc>
          <w:tcPr>
            <w:tcW w:w="823" w:type="dxa"/>
          </w:tcPr>
          <w:p>
            <w:pPr>
              <w:widowControl w:val="0"/>
              <w:spacing w:line="240" w:lineRule="auto"/>
              <w:jc w:val="both"/>
              <w:rPr>
                <w:rFonts w:ascii="宋体" w:hAnsi="宋体" w:eastAsia="宋体"/>
              </w:rPr>
            </w:pPr>
            <w:r>
              <w:rPr>
                <w:rFonts w:hint="eastAsia" w:ascii="宋体" w:hAnsi="宋体" w:eastAsia="宋体"/>
              </w:rPr>
              <w:t>市财政局</w:t>
            </w:r>
          </w:p>
        </w:tc>
        <w:tc>
          <w:tcPr>
            <w:tcW w:w="2277" w:type="dxa"/>
          </w:tcPr>
          <w:p>
            <w:pPr>
              <w:widowControl w:val="0"/>
              <w:snapToGrid w:val="0"/>
              <w:spacing w:line="240" w:lineRule="auto"/>
              <w:jc w:val="both"/>
              <w:rPr>
                <w:rFonts w:ascii="宋体" w:hAnsi="宋体" w:eastAsia="宋体" w:cs="Times New Roman"/>
                <w:szCs w:val="21"/>
              </w:rPr>
            </w:pPr>
            <w:r>
              <w:rPr>
                <w:rFonts w:hint="eastAsia" w:ascii="Times New Roman" w:hAnsi="Times New Roman" w:eastAsia="宋体" w:cs="Times New Roman"/>
                <w:szCs w:val="21"/>
              </w:rPr>
              <w:t>文</w:t>
            </w:r>
            <w:r>
              <w:rPr>
                <w:rFonts w:hint="eastAsia" w:ascii="宋体" w:hAnsi="宋体" w:eastAsia="宋体" w:cs="Times New Roman"/>
                <w:szCs w:val="21"/>
              </w:rPr>
              <w:t>件第六条规定：残疾人职业培训“原则上以人社部门认定的定点培训机构和经认定的各级残疾人职业培训基地为主”。</w:t>
            </w:r>
          </w:p>
          <w:p>
            <w:pPr>
              <w:widowControl w:val="0"/>
              <w:snapToGrid w:val="0"/>
              <w:spacing w:line="240" w:lineRule="auto"/>
              <w:jc w:val="both"/>
              <w:rPr>
                <w:rFonts w:ascii="楷体" w:hAnsi="楷体" w:eastAsia="楷体" w:cs="Times New Roman"/>
                <w:szCs w:val="21"/>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适用例外规定出台</w:t>
            </w: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napToGrid w:val="0"/>
              <w:spacing w:line="240" w:lineRule="auto"/>
              <w:jc w:val="both"/>
              <w:rPr>
                <w:rFonts w:ascii="Times New Roman" w:hAnsi="Times New Roman" w:eastAsia="宋体" w:cs="Times New Roman"/>
                <w:szCs w:val="21"/>
              </w:rPr>
            </w:pPr>
            <w:r>
              <w:rPr>
                <w:rFonts w:hint="eastAsia" w:ascii="Times New Roman" w:hAnsi="Times New Roman" w:eastAsia="宋体" w:cs="Times New Roman"/>
                <w:szCs w:val="21"/>
              </w:rPr>
              <w:t>2</w:t>
            </w:r>
          </w:p>
        </w:tc>
        <w:tc>
          <w:tcPr>
            <w:tcW w:w="1714" w:type="dxa"/>
          </w:tcPr>
          <w:p>
            <w:pPr>
              <w:widowControl w:val="0"/>
              <w:snapToGrid w:val="0"/>
              <w:spacing w:line="240" w:lineRule="auto"/>
              <w:jc w:val="both"/>
              <w:rPr>
                <w:rFonts w:ascii="Times New Roman" w:hAnsi="Times New Roman" w:eastAsia="宋体" w:cs="Times New Roman"/>
                <w:szCs w:val="21"/>
              </w:rPr>
            </w:pPr>
            <w:r>
              <w:rPr>
                <w:rFonts w:hint="eastAsia" w:ascii="宋体" w:hAnsi="宋体" w:eastAsia="宋体"/>
                <w:szCs w:val="21"/>
              </w:rPr>
              <w:t>武汉市集成电路产业发展若干政策专项资金管理办法</w:t>
            </w:r>
          </w:p>
        </w:tc>
        <w:tc>
          <w:tcPr>
            <w:tcW w:w="823" w:type="dxa"/>
          </w:tcPr>
          <w:p>
            <w:pPr>
              <w:widowControl w:val="0"/>
              <w:spacing w:line="240" w:lineRule="auto"/>
              <w:jc w:val="both"/>
              <w:rPr>
                <w:rFonts w:ascii="宋体" w:hAnsi="宋体" w:eastAsia="宋体"/>
              </w:rPr>
            </w:pPr>
            <w:r>
              <w:rPr>
                <w:rFonts w:hint="eastAsia" w:ascii="宋体" w:hAnsi="宋体" w:eastAsia="宋体"/>
              </w:rPr>
              <w:t>市经信局</w:t>
            </w:r>
          </w:p>
        </w:tc>
        <w:tc>
          <w:tcPr>
            <w:tcW w:w="2277" w:type="dxa"/>
          </w:tcPr>
          <w:p>
            <w:pPr>
              <w:widowControl w:val="0"/>
              <w:snapToGrid w:val="0"/>
              <w:spacing w:line="240" w:lineRule="auto"/>
              <w:jc w:val="both"/>
              <w:rPr>
                <w:rFonts w:ascii="Times New Roman" w:hAnsi="Times New Roman" w:eastAsia="宋体" w:cs="Times New Roman"/>
                <w:szCs w:val="21"/>
              </w:rPr>
            </w:pPr>
            <w:r>
              <w:rPr>
                <w:rFonts w:hint="eastAsia" w:ascii="Times New Roman" w:hAnsi="Times New Roman" w:eastAsia="宋体" w:cs="Times New Roman"/>
                <w:szCs w:val="21"/>
              </w:rPr>
              <w:t>第四条要求支持对象必须是“在我市登记注册，具有独立法人资格”的集成电路企业。</w:t>
            </w:r>
          </w:p>
          <w:p>
            <w:pPr>
              <w:widowControl w:val="0"/>
              <w:snapToGrid w:val="0"/>
              <w:spacing w:line="240" w:lineRule="auto"/>
              <w:jc w:val="both"/>
              <w:rPr>
                <w:rFonts w:ascii="楷体" w:hAnsi="楷体" w:eastAsia="楷体" w:cs="Times New Roman"/>
                <w:szCs w:val="21"/>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napToGrid w:val="0"/>
              <w:spacing w:line="240" w:lineRule="auto"/>
              <w:jc w:val="both"/>
              <w:rPr>
                <w:rFonts w:ascii="Times New Roman" w:hAnsi="Times New Roman" w:eastAsia="宋体" w:cs="Times New Roman"/>
                <w:szCs w:val="21"/>
              </w:rPr>
            </w:pPr>
            <w:r>
              <w:rPr>
                <w:rFonts w:hint="eastAsia" w:ascii="Times New Roman" w:hAnsi="Times New Roman" w:eastAsia="宋体" w:cs="Times New Roman"/>
                <w:szCs w:val="21"/>
              </w:rPr>
              <w:t>3</w:t>
            </w:r>
          </w:p>
        </w:tc>
        <w:tc>
          <w:tcPr>
            <w:tcW w:w="1714" w:type="dxa"/>
          </w:tcPr>
          <w:p>
            <w:pPr>
              <w:widowControl w:val="0"/>
              <w:snapToGrid w:val="0"/>
              <w:spacing w:line="240" w:lineRule="auto"/>
              <w:jc w:val="both"/>
              <w:rPr>
                <w:rFonts w:ascii="Times New Roman" w:hAnsi="Times New Roman" w:eastAsia="宋体" w:cs="Times New Roman"/>
                <w:szCs w:val="21"/>
              </w:rPr>
            </w:pPr>
            <w:r>
              <w:rPr>
                <w:rFonts w:hint="eastAsia" w:ascii="Times New Roman" w:hAnsi="Times New Roman" w:eastAsia="宋体" w:cs="Times New Roman"/>
                <w:szCs w:val="21"/>
              </w:rPr>
              <w:t>武汉中德国际产业园招商引资奖励办法</w:t>
            </w:r>
          </w:p>
        </w:tc>
        <w:tc>
          <w:tcPr>
            <w:tcW w:w="823" w:type="dxa"/>
          </w:tcPr>
          <w:p>
            <w:pPr>
              <w:widowControl w:val="0"/>
              <w:spacing w:line="240" w:lineRule="auto"/>
              <w:jc w:val="both"/>
              <w:rPr>
                <w:rFonts w:ascii="宋体" w:hAnsi="宋体" w:eastAsia="宋体"/>
              </w:rPr>
            </w:pPr>
            <w:r>
              <w:rPr>
                <w:rFonts w:hint="eastAsia" w:ascii="宋体" w:hAnsi="宋体" w:eastAsia="宋体"/>
              </w:rPr>
              <w:t>蔡甸区政府</w:t>
            </w:r>
          </w:p>
          <w:p>
            <w:pPr>
              <w:widowControl w:val="0"/>
              <w:spacing w:line="240" w:lineRule="auto"/>
              <w:jc w:val="both"/>
              <w:rPr>
                <w:rFonts w:ascii="宋体" w:hAnsi="宋体" w:eastAsia="宋体"/>
              </w:rPr>
            </w:pPr>
          </w:p>
        </w:tc>
        <w:tc>
          <w:tcPr>
            <w:tcW w:w="2277" w:type="dxa"/>
          </w:tcPr>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hint="eastAsia" w:ascii="Times New Roman" w:hAnsi="Times New Roman" w:eastAsia="宋体" w:cs="Times New Roman"/>
                <w:szCs w:val="21"/>
              </w:rPr>
              <w:t>第一条：“本办法适用于蔡甸区以独立法人注册的制造业德资企业（含德资独资、中德合资、中德合作经营企业）。”</w:t>
            </w: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第八（二）条：“对投资总额大……的重点项目，经区政府同意，采取</w:t>
            </w:r>
            <w:r>
              <w:rPr>
                <w:rFonts w:hint="eastAsia" w:ascii="楷体" w:hAnsi="楷体" w:eastAsia="楷体"/>
                <w:szCs w:val="21"/>
              </w:rPr>
              <w:t>'</w:t>
            </w:r>
            <w:r>
              <w:rPr>
                <w:rFonts w:hint="eastAsia" w:ascii="宋体" w:hAnsi="宋体" w:eastAsia="宋体"/>
                <w:szCs w:val="21"/>
              </w:rPr>
              <w:t>一企一策'、</w:t>
            </w:r>
            <w:r>
              <w:rPr>
                <w:rFonts w:hint="eastAsia" w:ascii="楷体" w:hAnsi="楷体" w:eastAsia="楷体"/>
                <w:szCs w:val="21"/>
              </w:rPr>
              <w:t>'</w:t>
            </w:r>
            <w:r>
              <w:rPr>
                <w:rFonts w:hint="eastAsia" w:ascii="宋体" w:hAnsi="宋体" w:eastAsia="宋体"/>
                <w:szCs w:val="21"/>
              </w:rPr>
              <w:t>一事一议'的办法给予扶持。”</w:t>
            </w: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第八（三）条：“申报支持奖励资金的企业应当承诺至少1</w:t>
            </w:r>
            <w:r>
              <w:rPr>
                <w:rFonts w:ascii="宋体" w:hAnsi="宋体" w:eastAsia="宋体"/>
                <w:szCs w:val="21"/>
              </w:rPr>
              <w:t>0</w:t>
            </w:r>
            <w:r>
              <w:rPr>
                <w:rFonts w:hint="eastAsia" w:ascii="宋体" w:hAnsi="宋体" w:eastAsia="宋体"/>
                <w:szCs w:val="21"/>
              </w:rPr>
              <w:t>年内注册及办公地址不迁离蔡甸区……。”</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4</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蔡甸区支持先进制造业企业集聚发展的奖励办法</w:t>
            </w:r>
          </w:p>
        </w:tc>
        <w:tc>
          <w:tcPr>
            <w:tcW w:w="823" w:type="dxa"/>
          </w:tcPr>
          <w:p>
            <w:pPr>
              <w:widowControl w:val="0"/>
              <w:spacing w:line="240" w:lineRule="auto"/>
              <w:jc w:val="both"/>
              <w:rPr>
                <w:rFonts w:ascii="宋体" w:hAnsi="宋体" w:eastAsia="宋体"/>
              </w:rPr>
            </w:pPr>
            <w:r>
              <w:rPr>
                <w:rFonts w:hint="eastAsia" w:ascii="宋体" w:hAnsi="宋体" w:eastAsia="宋体"/>
              </w:rPr>
              <w:t>蔡甸区政府</w:t>
            </w:r>
          </w:p>
          <w:p>
            <w:pPr>
              <w:widowControl w:val="0"/>
              <w:spacing w:line="240" w:lineRule="auto"/>
              <w:jc w:val="both"/>
              <w:rPr>
                <w:rFonts w:ascii="宋体" w:hAnsi="宋体" w:eastAsia="宋体"/>
              </w:rPr>
            </w:pPr>
          </w:p>
        </w:tc>
        <w:tc>
          <w:tcPr>
            <w:tcW w:w="2277" w:type="dxa"/>
          </w:tcPr>
          <w:p>
            <w:pPr>
              <w:widowControl w:val="0"/>
              <w:spacing w:line="240" w:lineRule="auto"/>
              <w:jc w:val="both"/>
              <w:rPr>
                <w:rFonts w:ascii="宋体" w:hAnsi="宋体" w:eastAsia="宋体"/>
                <w:szCs w:val="21"/>
              </w:rPr>
            </w:pPr>
            <w:r>
              <w:rPr>
                <w:rFonts w:hint="eastAsia" w:ascii="楷体" w:hAnsi="楷体" w:eastAsia="楷体"/>
                <w:szCs w:val="21"/>
              </w:rPr>
              <w:t>█</w:t>
            </w:r>
            <w:r>
              <w:rPr>
                <w:rFonts w:hint="eastAsia" w:ascii="宋体" w:hAnsi="宋体" w:eastAsia="宋体"/>
                <w:szCs w:val="21"/>
              </w:rPr>
              <w:t>第一条“适用范围”，限于以独立法人形式注册的在蔡甸区可分割销售的工业产业园内购置厂房自用的先进制造企业和租赁厂房自用的先进制造企业。</w:t>
            </w:r>
          </w:p>
          <w:p>
            <w:pPr>
              <w:widowControl w:val="0"/>
              <w:spacing w:line="240" w:lineRule="auto"/>
              <w:jc w:val="both"/>
              <w:rPr>
                <w:rFonts w:ascii="宋体" w:hAnsi="宋体" w:eastAsia="宋体"/>
              </w:rPr>
            </w:pPr>
            <w:r>
              <w:rPr>
                <w:rFonts w:hint="eastAsia" w:ascii="楷体" w:hAnsi="楷体" w:eastAsia="楷体"/>
              </w:rPr>
              <w:t>█</w:t>
            </w:r>
            <w:r>
              <w:rPr>
                <w:rFonts w:hint="eastAsia" w:ascii="宋体" w:hAnsi="宋体" w:eastAsia="宋体"/>
              </w:rPr>
              <w:t>第四（二）条：</w:t>
            </w:r>
            <w:r>
              <w:rPr>
                <w:rFonts w:hint="eastAsia" w:ascii="宋体" w:hAnsi="宋体" w:eastAsia="宋体"/>
                <w:szCs w:val="21"/>
              </w:rPr>
              <w:t>“申报支持奖励资金的企业应当承诺至少1</w:t>
            </w:r>
            <w:r>
              <w:rPr>
                <w:rFonts w:ascii="宋体" w:hAnsi="宋体" w:eastAsia="宋体"/>
                <w:szCs w:val="21"/>
              </w:rPr>
              <w:t>0</w:t>
            </w:r>
            <w:r>
              <w:rPr>
                <w:rFonts w:hint="eastAsia" w:ascii="宋体" w:hAnsi="宋体" w:eastAsia="宋体"/>
                <w:szCs w:val="21"/>
              </w:rPr>
              <w:t>年内注册及办公地址不迁离蔡甸区……。”</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5</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蔡甸区支持直播电商发展若干措施（试行）</w:t>
            </w:r>
          </w:p>
        </w:tc>
        <w:tc>
          <w:tcPr>
            <w:tcW w:w="823" w:type="dxa"/>
          </w:tcPr>
          <w:p>
            <w:pPr>
              <w:widowControl w:val="0"/>
              <w:spacing w:line="240" w:lineRule="auto"/>
              <w:jc w:val="both"/>
              <w:rPr>
                <w:rFonts w:ascii="宋体" w:hAnsi="宋体" w:eastAsia="宋体"/>
              </w:rPr>
            </w:pPr>
            <w:r>
              <w:rPr>
                <w:rFonts w:hint="eastAsia" w:ascii="宋体" w:hAnsi="宋体" w:eastAsia="宋体"/>
              </w:rPr>
              <w:t>蔡甸区政府</w:t>
            </w:r>
          </w:p>
          <w:p>
            <w:pPr>
              <w:widowControl w:val="0"/>
              <w:spacing w:line="240" w:lineRule="auto"/>
              <w:jc w:val="both"/>
              <w:rPr>
                <w:rFonts w:ascii="宋体" w:hAnsi="宋体" w:eastAsia="宋体"/>
              </w:rPr>
            </w:pPr>
          </w:p>
        </w:tc>
        <w:tc>
          <w:tcPr>
            <w:tcW w:w="2277" w:type="dxa"/>
          </w:tcPr>
          <w:p>
            <w:pPr>
              <w:widowControl w:val="0"/>
              <w:spacing w:line="240" w:lineRule="auto"/>
              <w:jc w:val="both"/>
              <w:rPr>
                <w:rFonts w:ascii="宋体" w:hAnsi="宋体" w:eastAsia="宋体"/>
              </w:rPr>
            </w:pPr>
            <w:r>
              <w:rPr>
                <w:rFonts w:hint="eastAsia" w:ascii="宋体" w:hAnsi="宋体" w:eastAsia="宋体"/>
                <w:szCs w:val="21"/>
              </w:rPr>
              <w:t>第（二）条规定：“对获得各大直播电商平台官方认证的M</w:t>
            </w:r>
            <w:r>
              <w:rPr>
                <w:rFonts w:ascii="宋体" w:hAnsi="宋体" w:eastAsia="宋体"/>
                <w:szCs w:val="21"/>
              </w:rPr>
              <w:t>CN</w:t>
            </w:r>
            <w:r>
              <w:rPr>
                <w:rFonts w:hint="eastAsia" w:ascii="宋体" w:hAnsi="宋体" w:eastAsia="宋体"/>
                <w:szCs w:val="21"/>
              </w:rPr>
              <w:t>机构或腰部以上主播在区内注册独立法人公司，且运营一年以上的，给予一次性1</w:t>
            </w:r>
            <w:r>
              <w:rPr>
                <w:rFonts w:ascii="宋体" w:hAnsi="宋体" w:eastAsia="宋体"/>
                <w:szCs w:val="21"/>
              </w:rPr>
              <w:t>0</w:t>
            </w:r>
            <w:r>
              <w:rPr>
                <w:rFonts w:hint="eastAsia" w:ascii="宋体" w:hAnsi="宋体" w:eastAsia="宋体"/>
                <w:szCs w:val="21"/>
              </w:rPr>
              <w:t>万元落户奖励。”</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6</w:t>
            </w:r>
          </w:p>
        </w:tc>
        <w:tc>
          <w:tcPr>
            <w:tcW w:w="1714" w:type="dxa"/>
          </w:tcPr>
          <w:p>
            <w:pPr>
              <w:widowControl w:val="0"/>
              <w:spacing w:line="240" w:lineRule="auto"/>
              <w:jc w:val="both"/>
              <w:rPr>
                <w:rFonts w:ascii="宋体" w:hAnsi="宋体" w:eastAsia="宋体"/>
              </w:rPr>
            </w:pPr>
            <w:r>
              <w:rPr>
                <w:rFonts w:hint="eastAsia" w:ascii="宋体" w:hAnsi="宋体" w:eastAsia="宋体"/>
              </w:rPr>
              <w:t>区政府办公室关于切实做好国家“学生饮用奶计划”推广工作的通知</w:t>
            </w:r>
          </w:p>
        </w:tc>
        <w:tc>
          <w:tcPr>
            <w:tcW w:w="823" w:type="dxa"/>
          </w:tcPr>
          <w:p>
            <w:pPr>
              <w:widowControl w:val="0"/>
              <w:spacing w:line="240" w:lineRule="auto"/>
              <w:jc w:val="both"/>
              <w:rPr>
                <w:rFonts w:ascii="宋体" w:hAnsi="宋体" w:eastAsia="宋体"/>
              </w:rPr>
            </w:pPr>
            <w:r>
              <w:rPr>
                <w:rFonts w:hint="eastAsia" w:ascii="宋体" w:hAnsi="宋体" w:eastAsia="宋体"/>
              </w:rPr>
              <w:t>武昌区政府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cs="宋体"/>
                <w:szCs w:val="21"/>
                <w:shd w:val="clear" w:color="auto" w:fill="FFFFFF"/>
              </w:rPr>
              <w:t>第三条：……支持市、区人民政府重点招商引资的企业依法依规向我区中小学生供应学生饮用奶。</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7</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青山区招商引资奖励办法</w:t>
            </w:r>
          </w:p>
        </w:tc>
        <w:tc>
          <w:tcPr>
            <w:tcW w:w="823" w:type="dxa"/>
          </w:tcPr>
          <w:p>
            <w:pPr>
              <w:widowControl w:val="0"/>
              <w:spacing w:line="240" w:lineRule="auto"/>
              <w:jc w:val="both"/>
              <w:rPr>
                <w:rFonts w:ascii="宋体" w:hAnsi="宋体" w:eastAsia="宋体"/>
              </w:rPr>
            </w:pPr>
            <w:r>
              <w:rPr>
                <w:rFonts w:hint="eastAsia" w:ascii="宋体" w:hAnsi="宋体" w:eastAsia="宋体"/>
              </w:rPr>
              <w:t>青山区政府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 文件第二条规定：“本办法适用于2</w:t>
            </w:r>
            <w:r>
              <w:rPr>
                <w:rFonts w:ascii="宋体" w:hAnsi="宋体" w:eastAsia="宋体"/>
                <w:szCs w:val="21"/>
              </w:rPr>
              <w:t>021</w:t>
            </w:r>
            <w:r>
              <w:rPr>
                <w:rFonts w:hint="eastAsia" w:ascii="宋体" w:hAnsi="宋体" w:eastAsia="宋体"/>
                <w:szCs w:val="21"/>
              </w:rPr>
              <w:t>年1月1日以后在青山区注册落户或税务关系由区外新迁入的具有独立法人资格的企业。”</w:t>
            </w:r>
          </w:p>
          <w:p>
            <w:pPr>
              <w:widowControl w:val="0"/>
              <w:spacing w:line="240" w:lineRule="auto"/>
              <w:jc w:val="both"/>
              <w:rPr>
                <w:rFonts w:ascii="宋体" w:hAnsi="宋体" w:eastAsia="宋体"/>
                <w:szCs w:val="21"/>
              </w:rPr>
            </w:pPr>
          </w:p>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 第九条：“对投资总额大、产业关联度高、带动性强、对地方经济发展贡献大的重点项目，经区委、区政府同意，采取'一企一策'的办法给予支持。”</w:t>
            </w:r>
          </w:p>
          <w:p>
            <w:pPr>
              <w:widowControl w:val="0"/>
              <w:snapToGrid w:val="0"/>
              <w:spacing w:line="240" w:lineRule="auto"/>
              <w:jc w:val="both"/>
              <w:rPr>
                <w:rFonts w:ascii="宋体" w:hAnsi="宋体" w:eastAsia="宋体" w:cs="Times New Roman"/>
                <w:szCs w:val="21"/>
              </w:rPr>
            </w:pPr>
          </w:p>
          <w:p>
            <w:pPr>
              <w:widowControl w:val="0"/>
              <w:snapToGrid w:val="0"/>
              <w:spacing w:line="240" w:lineRule="auto"/>
              <w:jc w:val="both"/>
              <w:rPr>
                <w:rFonts w:ascii="宋体" w:hAnsi="宋体" w:eastAsia="宋体" w:cs="Times New Roman"/>
                <w:szCs w:val="21"/>
              </w:rPr>
            </w:pPr>
          </w:p>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hint="eastAsia" w:ascii="Times New Roman" w:hAnsi="Times New Roman" w:eastAsia="宋体" w:cs="Times New Roman"/>
                <w:szCs w:val="21"/>
              </w:rPr>
              <w:t xml:space="preserve"> 根据第四条规定，对新引进世界5</w:t>
            </w:r>
            <w:r>
              <w:rPr>
                <w:rFonts w:ascii="Times New Roman" w:hAnsi="Times New Roman" w:eastAsia="宋体" w:cs="Times New Roman"/>
                <w:szCs w:val="21"/>
              </w:rPr>
              <w:t>00</w:t>
            </w:r>
            <w:r>
              <w:rPr>
                <w:rFonts w:hint="eastAsia" w:ascii="Times New Roman" w:hAnsi="Times New Roman" w:eastAsia="宋体" w:cs="Times New Roman"/>
                <w:szCs w:val="21"/>
              </w:rPr>
              <w:t>强、央企、中国5</w:t>
            </w:r>
            <w:r>
              <w:rPr>
                <w:rFonts w:ascii="Times New Roman" w:hAnsi="Times New Roman" w:eastAsia="宋体" w:cs="Times New Roman"/>
                <w:szCs w:val="21"/>
              </w:rPr>
              <w:t>00</w:t>
            </w:r>
            <w:r>
              <w:rPr>
                <w:rFonts w:hint="eastAsia" w:ascii="Times New Roman" w:hAnsi="Times New Roman" w:eastAsia="宋体" w:cs="Times New Roman"/>
                <w:szCs w:val="21"/>
              </w:rPr>
              <w:t>强……等，在与其它企业于青山区年度纳税额（1</w:t>
            </w:r>
            <w:r>
              <w:rPr>
                <w:rFonts w:ascii="Times New Roman" w:hAnsi="Times New Roman" w:eastAsia="宋体" w:cs="Times New Roman"/>
                <w:szCs w:val="21"/>
              </w:rPr>
              <w:t>00</w:t>
            </w:r>
            <w:r>
              <w:rPr>
                <w:rFonts w:hint="eastAsia" w:ascii="Times New Roman" w:hAnsi="Times New Roman" w:eastAsia="宋体" w:cs="Times New Roman"/>
                <w:szCs w:val="21"/>
              </w:rPr>
              <w:t>万以上）一样的情况下，对前者财政奖励年限和标准更优惠。</w:t>
            </w:r>
          </w:p>
          <w:p>
            <w:pPr>
              <w:widowControl w:val="0"/>
              <w:snapToGrid w:val="0"/>
              <w:spacing w:line="240" w:lineRule="auto"/>
              <w:jc w:val="both"/>
              <w:rPr>
                <w:rFonts w:ascii="Times New Roman" w:hAnsi="Times New Roman" w:eastAsia="宋体" w:cs="Times New Roman"/>
                <w:szCs w:val="21"/>
              </w:rPr>
            </w:pPr>
          </w:p>
          <w:p>
            <w:pPr>
              <w:widowControl w:val="0"/>
              <w:snapToGrid w:val="0"/>
              <w:spacing w:line="240" w:lineRule="auto"/>
              <w:jc w:val="both"/>
              <w:rPr>
                <w:rFonts w:ascii="Times New Roman" w:hAnsi="Times New Roman" w:eastAsia="宋体" w:cs="Times New Roman"/>
                <w:szCs w:val="21"/>
              </w:rPr>
            </w:pPr>
          </w:p>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hint="eastAsia" w:ascii="Times New Roman" w:hAnsi="Times New Roman" w:eastAsia="宋体" w:cs="Times New Roman"/>
                <w:szCs w:val="21"/>
              </w:rPr>
              <w:t>第十条：“企业享受区级奖励需承诺在本区经营期限不低于十年。且不减少注册资本……”</w:t>
            </w:r>
          </w:p>
          <w:p>
            <w:pPr>
              <w:widowControl w:val="0"/>
              <w:snapToGrid w:val="0"/>
              <w:spacing w:line="240" w:lineRule="auto"/>
              <w:jc w:val="both"/>
              <w:rPr>
                <w:rFonts w:ascii="Times New Roman" w:hAnsi="Times New Roman" w:eastAsia="宋体" w:cs="Times New Roman"/>
                <w:szCs w:val="21"/>
              </w:rPr>
            </w:pPr>
          </w:p>
          <w:p>
            <w:pPr>
              <w:widowControl w:val="0"/>
              <w:snapToGrid w:val="0"/>
              <w:spacing w:line="240" w:lineRule="auto"/>
              <w:jc w:val="both"/>
              <w:rPr>
                <w:rFonts w:ascii="Times New Roman" w:hAnsi="Times New Roman" w:eastAsia="宋体" w:cs="Times New Roman"/>
                <w:szCs w:val="21"/>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8</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青山区促进利用外资奖励办法</w:t>
            </w:r>
          </w:p>
        </w:tc>
        <w:tc>
          <w:tcPr>
            <w:tcW w:w="823" w:type="dxa"/>
          </w:tcPr>
          <w:p>
            <w:pPr>
              <w:widowControl w:val="0"/>
              <w:spacing w:line="240" w:lineRule="auto"/>
              <w:jc w:val="both"/>
              <w:rPr>
                <w:rFonts w:ascii="宋体" w:hAnsi="宋体" w:eastAsia="宋体"/>
              </w:rPr>
            </w:pPr>
            <w:r>
              <w:rPr>
                <w:rFonts w:hint="eastAsia" w:ascii="宋体" w:hAnsi="宋体" w:eastAsia="宋体"/>
              </w:rPr>
              <w:t>青山区政府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第二条：“本办法适用于在青山区注册落户，且具有独立法人资格的外资企业（含港澳台商投资）。”</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hint="eastAsia" w:ascii="Times New Roman" w:hAnsi="Times New Roman" w:eastAsia="宋体" w:cs="Times New Roman"/>
                <w:szCs w:val="21"/>
              </w:rPr>
              <w:t xml:space="preserve"> 第六条：“对投资总额大、产业关联度高、带动性强、对地方经济发展贡献大的重点项目，经区委、区政府同意，采取</w:t>
            </w:r>
            <w:r>
              <w:rPr>
                <w:rFonts w:hint="eastAsia" w:ascii="楷体" w:hAnsi="楷体" w:eastAsia="楷体" w:cs="Times New Roman"/>
                <w:szCs w:val="21"/>
              </w:rPr>
              <w:t>'</w:t>
            </w:r>
            <w:r>
              <w:rPr>
                <w:rFonts w:hint="eastAsia" w:ascii="Times New Roman" w:hAnsi="Times New Roman" w:eastAsia="宋体" w:cs="Times New Roman"/>
                <w:szCs w:val="21"/>
              </w:rPr>
              <w:t>一企一策</w:t>
            </w:r>
            <w:r>
              <w:rPr>
                <w:rFonts w:hint="eastAsia" w:ascii="楷体" w:hAnsi="楷体" w:eastAsia="楷体" w:cs="Times New Roman"/>
                <w:szCs w:val="21"/>
              </w:rPr>
              <w:t>'</w:t>
            </w:r>
            <w:r>
              <w:rPr>
                <w:rFonts w:hint="eastAsia" w:ascii="Times New Roman" w:hAnsi="Times New Roman" w:eastAsia="宋体" w:cs="Times New Roman"/>
                <w:szCs w:val="21"/>
              </w:rPr>
              <w:t>的办法给予支持。”</w:t>
            </w:r>
          </w:p>
          <w:p>
            <w:pPr>
              <w:widowControl w:val="0"/>
              <w:snapToGrid w:val="0"/>
              <w:spacing w:line="240" w:lineRule="auto"/>
              <w:jc w:val="both"/>
              <w:rPr>
                <w:rFonts w:ascii="Times New Roman" w:hAnsi="Times New Roman" w:eastAsia="宋体" w:cs="Times New Roman"/>
                <w:szCs w:val="21"/>
              </w:rPr>
            </w:pPr>
          </w:p>
          <w:p>
            <w:pPr>
              <w:widowControl w:val="0"/>
              <w:snapToGrid w:val="0"/>
              <w:spacing w:line="240" w:lineRule="auto"/>
              <w:jc w:val="both"/>
              <w:rPr>
                <w:rFonts w:ascii="Times New Roman" w:hAnsi="Times New Roman" w:eastAsia="宋体" w:cs="Times New Roman"/>
                <w:szCs w:val="21"/>
              </w:rPr>
            </w:pPr>
          </w:p>
          <w:p>
            <w:pPr>
              <w:widowControl w:val="0"/>
              <w:spacing w:line="240" w:lineRule="auto"/>
              <w:jc w:val="both"/>
              <w:rPr>
                <w:rFonts w:ascii="宋体" w:hAnsi="宋体" w:eastAsia="宋体"/>
              </w:rPr>
            </w:pPr>
            <w:r>
              <w:rPr>
                <w:rFonts w:hint="eastAsia" w:ascii="楷体" w:hAnsi="楷体" w:eastAsia="楷体"/>
              </w:rPr>
              <w:t>█</w:t>
            </w:r>
            <w:r>
              <w:rPr>
                <w:rFonts w:hint="eastAsia" w:ascii="宋体" w:hAnsi="宋体" w:eastAsia="宋体"/>
              </w:rPr>
              <w:t>第七条：“</w:t>
            </w:r>
            <w:r>
              <w:rPr>
                <w:rFonts w:hint="eastAsia" w:ascii="宋体" w:hAnsi="宋体" w:eastAsia="宋体"/>
                <w:szCs w:val="21"/>
              </w:rPr>
              <w:t>企业享受区级奖励需承诺在本区经营期限不低于十年。且不减少注册资本……”</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9</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青山区促进商贸业发展的奖励办法</w:t>
            </w:r>
          </w:p>
        </w:tc>
        <w:tc>
          <w:tcPr>
            <w:tcW w:w="823" w:type="dxa"/>
          </w:tcPr>
          <w:p>
            <w:pPr>
              <w:widowControl w:val="0"/>
              <w:spacing w:line="240" w:lineRule="auto"/>
              <w:jc w:val="both"/>
              <w:rPr>
                <w:rFonts w:ascii="宋体" w:hAnsi="宋体" w:eastAsia="宋体"/>
              </w:rPr>
            </w:pPr>
            <w:r>
              <w:rPr>
                <w:rFonts w:hint="eastAsia" w:ascii="宋体" w:hAnsi="宋体" w:eastAsia="宋体"/>
              </w:rPr>
              <w:t>青山区政府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第二条：“本办法的奖励对象指……，具有独立法人资格、实行独立核算、依法纳税的商贸企业。”</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第三条：“对新引进的零售头部企业，按新增零售额规模给予一次性奖励。”</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第九条：“引进符合我区产业导向、对地方经济带动性强……的企业，可采取'一事一议、一企一策'的方式，另行予以重点扶持。”</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r>
              <w:rPr>
                <w:rFonts w:hint="eastAsia" w:ascii="楷体" w:hAnsi="楷体" w:eastAsia="楷体"/>
                <w:szCs w:val="21"/>
              </w:rPr>
              <w:t>█</w:t>
            </w:r>
            <w:r>
              <w:rPr>
                <w:rFonts w:hint="eastAsia" w:ascii="宋体" w:hAnsi="宋体" w:eastAsia="宋体"/>
                <w:szCs w:val="21"/>
              </w:rPr>
              <w:t>第十（2）条：</w:t>
            </w:r>
            <w:r>
              <w:rPr>
                <w:rFonts w:hint="eastAsia" w:ascii="宋体" w:hAnsi="宋体" w:eastAsia="宋体"/>
              </w:rPr>
              <w:t>“</w:t>
            </w:r>
            <w:r>
              <w:rPr>
                <w:rFonts w:hint="eastAsia" w:ascii="宋体" w:hAnsi="宋体" w:eastAsia="宋体"/>
                <w:szCs w:val="21"/>
              </w:rPr>
              <w:t>企业享受区级奖励需承诺在本区经营期限不低于十年。”</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0</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青山区促进数字经济产业发展的奖励办法</w:t>
            </w:r>
          </w:p>
        </w:tc>
        <w:tc>
          <w:tcPr>
            <w:tcW w:w="823" w:type="dxa"/>
          </w:tcPr>
          <w:p>
            <w:pPr>
              <w:widowControl w:val="0"/>
              <w:spacing w:line="240" w:lineRule="auto"/>
              <w:jc w:val="both"/>
              <w:rPr>
                <w:rFonts w:ascii="宋体" w:hAnsi="宋体" w:eastAsia="宋体"/>
              </w:rPr>
            </w:pPr>
            <w:r>
              <w:rPr>
                <w:rFonts w:hint="eastAsia" w:ascii="宋体" w:hAnsi="宋体" w:eastAsia="宋体"/>
              </w:rPr>
              <w:t>青山区政府</w:t>
            </w:r>
          </w:p>
        </w:tc>
        <w:tc>
          <w:tcPr>
            <w:tcW w:w="2277" w:type="dxa"/>
          </w:tcPr>
          <w:p>
            <w:pPr>
              <w:widowControl w:val="0"/>
              <w:spacing w:line="240" w:lineRule="auto"/>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第二条：“本办法适用于在青山区注册纳税，具有独立法人资格……的企业。”</w:t>
            </w:r>
          </w:p>
          <w:p>
            <w:pPr>
              <w:widowControl w:val="0"/>
              <w:spacing w:line="240" w:lineRule="auto"/>
              <w:rPr>
                <w:rFonts w:ascii="宋体" w:hAnsi="宋体" w:eastAsia="宋体"/>
                <w:szCs w:val="21"/>
              </w:rPr>
            </w:pPr>
          </w:p>
          <w:p>
            <w:pPr>
              <w:widowControl w:val="0"/>
              <w:spacing w:line="240" w:lineRule="auto"/>
              <w:rPr>
                <w:rFonts w:ascii="宋体" w:hAnsi="宋体" w:eastAsia="宋体"/>
                <w:szCs w:val="21"/>
              </w:rPr>
            </w:pPr>
          </w:p>
          <w:p>
            <w:pPr>
              <w:widowControl w:val="0"/>
              <w:spacing w:line="240" w:lineRule="auto"/>
              <w:rPr>
                <w:rFonts w:ascii="宋体" w:hAnsi="宋体" w:eastAsia="宋体"/>
                <w:szCs w:val="21"/>
              </w:rPr>
            </w:pPr>
          </w:p>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第十一条：“对地方经济带动性强、财政贡献高的重点数字经济企业及项目，……可采取'一事一议、一企一策'的方式，另行予以重点扶持。”</w:t>
            </w:r>
          </w:p>
          <w:p>
            <w:pPr>
              <w:widowControl w:val="0"/>
              <w:snapToGrid w:val="0"/>
              <w:spacing w:line="240" w:lineRule="auto"/>
              <w:jc w:val="both"/>
              <w:rPr>
                <w:rFonts w:ascii="宋体" w:hAnsi="宋体" w:eastAsia="宋体" w:cs="Times New Roman"/>
                <w:szCs w:val="21"/>
              </w:rPr>
            </w:pPr>
          </w:p>
          <w:p>
            <w:pPr>
              <w:widowControl w:val="0"/>
              <w:snapToGrid w:val="0"/>
              <w:spacing w:line="240" w:lineRule="auto"/>
              <w:jc w:val="both"/>
              <w:rPr>
                <w:rFonts w:ascii="宋体" w:hAnsi="宋体" w:eastAsia="宋体" w:cs="Times New Roman"/>
                <w:szCs w:val="21"/>
              </w:rPr>
            </w:pPr>
          </w:p>
          <w:p>
            <w:pPr>
              <w:widowControl w:val="0"/>
              <w:snapToGrid w:val="0"/>
              <w:spacing w:line="240" w:lineRule="auto"/>
              <w:jc w:val="both"/>
              <w:rPr>
                <w:rFonts w:ascii="宋体" w:hAnsi="宋体" w:eastAsia="宋体" w:cs="Times New Roman"/>
                <w:szCs w:val="21"/>
              </w:rPr>
            </w:pPr>
          </w:p>
          <w:p>
            <w:pPr>
              <w:widowControl w:val="0"/>
              <w:spacing w:line="240" w:lineRule="auto"/>
              <w:jc w:val="both"/>
              <w:rPr>
                <w:rFonts w:ascii="宋体" w:hAnsi="宋体" w:eastAsia="宋体"/>
              </w:rPr>
            </w:pPr>
            <w:r>
              <w:rPr>
                <w:rFonts w:hint="eastAsia" w:ascii="楷体" w:hAnsi="楷体" w:eastAsia="楷体"/>
              </w:rPr>
              <w:t>█</w:t>
            </w:r>
            <w:r>
              <w:rPr>
                <w:rFonts w:hint="eastAsia" w:ascii="宋体" w:hAnsi="宋体" w:eastAsia="宋体"/>
              </w:rPr>
              <w:t>第十二（一）条：“</w:t>
            </w:r>
            <w:r>
              <w:rPr>
                <w:rFonts w:hint="eastAsia" w:ascii="宋体" w:hAnsi="宋体" w:eastAsia="宋体"/>
                <w:szCs w:val="21"/>
              </w:rPr>
              <w:t>企业享受区级奖励需承诺在本区经营期限不低于十年。”</w:t>
            </w:r>
          </w:p>
          <w:p>
            <w:pPr>
              <w:widowControl w:val="0"/>
              <w:spacing w:line="240" w:lineRule="auto"/>
              <w:rPr>
                <w:rFonts w:ascii="宋体" w:hAnsi="宋体" w:eastAsia="宋体"/>
              </w:rPr>
            </w:pPr>
          </w:p>
          <w:p>
            <w:pPr>
              <w:widowControl w:val="0"/>
              <w:spacing w:line="240" w:lineRule="auto"/>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1</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青山区促进楼宇（园区）经济的奖励办法</w:t>
            </w:r>
          </w:p>
        </w:tc>
        <w:tc>
          <w:tcPr>
            <w:tcW w:w="823" w:type="dxa"/>
          </w:tcPr>
          <w:p>
            <w:pPr>
              <w:widowControl w:val="0"/>
              <w:spacing w:line="240" w:lineRule="auto"/>
              <w:jc w:val="both"/>
              <w:rPr>
                <w:rFonts w:ascii="宋体" w:hAnsi="宋体" w:eastAsia="宋体"/>
              </w:rPr>
            </w:pPr>
            <w:r>
              <w:rPr>
                <w:rFonts w:hint="eastAsia" w:ascii="宋体" w:hAnsi="宋体" w:eastAsia="宋体"/>
              </w:rPr>
              <w:t>青山区政府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第二条适用范围：“受奖企业需具备独立法人资格，……。”</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第九（二）条：“对引进符合我区产业导向……的重点项目，……可采取</w:t>
            </w:r>
            <w:r>
              <w:rPr>
                <w:rFonts w:hint="eastAsia" w:ascii="楷体" w:hAnsi="楷体" w:eastAsia="楷体"/>
                <w:szCs w:val="21"/>
              </w:rPr>
              <w:t>'</w:t>
            </w:r>
            <w:r>
              <w:rPr>
                <w:rFonts w:hint="eastAsia" w:ascii="宋体" w:hAnsi="宋体" w:eastAsia="宋体"/>
                <w:szCs w:val="21"/>
              </w:rPr>
              <w:t>一事一议、一企一策'的方式，另行予以重点扶持。”</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2</w:t>
            </w:r>
          </w:p>
        </w:tc>
        <w:tc>
          <w:tcPr>
            <w:tcW w:w="1714" w:type="dxa"/>
          </w:tcPr>
          <w:p>
            <w:pPr>
              <w:widowControl w:val="0"/>
              <w:snapToGrid w:val="0"/>
              <w:spacing w:line="240" w:lineRule="auto"/>
              <w:jc w:val="both"/>
              <w:rPr>
                <w:rFonts w:ascii="宋体" w:hAnsi="宋体" w:eastAsia="宋体" w:cs="Times New Roman"/>
                <w:szCs w:val="21"/>
              </w:rPr>
            </w:pPr>
            <w:r>
              <w:rPr>
                <w:rFonts w:hint="eastAsia" w:ascii="宋体" w:hAnsi="宋体" w:eastAsia="宋体"/>
                <w:szCs w:val="21"/>
              </w:rPr>
              <w:t>青山区促进电子商务产业发展的奖励办法</w:t>
            </w:r>
          </w:p>
        </w:tc>
        <w:tc>
          <w:tcPr>
            <w:tcW w:w="823" w:type="dxa"/>
          </w:tcPr>
          <w:p>
            <w:pPr>
              <w:widowControl w:val="0"/>
              <w:spacing w:line="240" w:lineRule="auto"/>
              <w:jc w:val="both"/>
              <w:rPr>
                <w:rFonts w:ascii="宋体" w:hAnsi="宋体" w:eastAsia="宋体"/>
              </w:rPr>
            </w:pPr>
            <w:r>
              <w:rPr>
                <w:rFonts w:hint="eastAsia" w:ascii="宋体" w:hAnsi="宋体" w:eastAsia="宋体"/>
              </w:rPr>
              <w:t>青山区政府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第一条扶持对象：“本办法适用于在青山区注册的独立法人单位，……。”</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第十一条：““对地方经济带动性强、财政贡献高的电子商务企业及项目，……可采取'一事一议、一企一策'的方式，另行予以重点扶持。”</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r>
              <w:rPr>
                <w:rFonts w:hint="eastAsia" w:ascii="楷体" w:hAnsi="楷体" w:eastAsia="楷体"/>
                <w:szCs w:val="21"/>
              </w:rPr>
              <w:t>█</w:t>
            </w:r>
            <w:r>
              <w:rPr>
                <w:rFonts w:hint="eastAsia" w:ascii="宋体" w:hAnsi="宋体" w:eastAsia="宋体"/>
                <w:szCs w:val="21"/>
              </w:rPr>
              <w:t>第十二（2）条：</w:t>
            </w:r>
            <w:r>
              <w:rPr>
                <w:rFonts w:hint="eastAsia" w:ascii="宋体" w:hAnsi="宋体" w:eastAsia="宋体"/>
              </w:rPr>
              <w:t>“</w:t>
            </w:r>
            <w:r>
              <w:rPr>
                <w:rFonts w:hint="eastAsia" w:ascii="宋体" w:hAnsi="宋体" w:eastAsia="宋体"/>
                <w:szCs w:val="21"/>
              </w:rPr>
              <w:t>企业享受区级奖励需承诺在本区经营期限不低于十年。且不减少注册资本……”</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3</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武汉光谷合伙人投资引导基金管理办法</w:t>
            </w:r>
          </w:p>
        </w:tc>
        <w:tc>
          <w:tcPr>
            <w:tcW w:w="823" w:type="dxa"/>
          </w:tcPr>
          <w:p>
            <w:pPr>
              <w:widowControl w:val="0"/>
              <w:spacing w:line="240" w:lineRule="auto"/>
              <w:jc w:val="both"/>
              <w:rPr>
                <w:rFonts w:ascii="宋体" w:hAnsi="宋体" w:eastAsia="宋体"/>
              </w:rPr>
            </w:pPr>
            <w:r>
              <w:rPr>
                <w:rFonts w:hint="eastAsia" w:ascii="宋体" w:hAnsi="宋体" w:eastAsia="宋体"/>
                <w:szCs w:val="21"/>
              </w:rPr>
              <w:t>东湖开发区管委会</w:t>
            </w:r>
          </w:p>
        </w:tc>
        <w:tc>
          <w:tcPr>
            <w:tcW w:w="2277" w:type="dxa"/>
          </w:tcPr>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第十二条规定：“合伙人基金委托武汉光谷金融控股集团有限公司或其下属全资子公司负责合伙人基金的日常管理和运作。”</w:t>
            </w:r>
          </w:p>
          <w:p>
            <w:pPr>
              <w:widowControl w:val="0"/>
              <w:snapToGrid w:val="0"/>
              <w:spacing w:line="240" w:lineRule="auto"/>
              <w:jc w:val="both"/>
              <w:rPr>
                <w:rFonts w:ascii="Times New Roman" w:hAnsi="Times New Roman" w:eastAsia="宋体" w:cs="Times New Roman"/>
                <w:szCs w:val="21"/>
              </w:rPr>
            </w:pPr>
          </w:p>
          <w:p>
            <w:pPr>
              <w:widowControl w:val="0"/>
              <w:snapToGrid w:val="0"/>
              <w:spacing w:line="240" w:lineRule="auto"/>
              <w:jc w:val="both"/>
              <w:rPr>
                <w:rFonts w:ascii="Times New Roman" w:hAnsi="Times New Roman" w:eastAsia="宋体" w:cs="Times New Roman"/>
                <w:szCs w:val="21"/>
              </w:rPr>
            </w:pPr>
          </w:p>
          <w:p>
            <w:pPr>
              <w:widowControl w:val="0"/>
              <w:spacing w:line="240" w:lineRule="auto"/>
              <w:jc w:val="both"/>
              <w:rPr>
                <w:rFonts w:ascii="宋体" w:hAnsi="宋体" w:eastAsia="宋体"/>
              </w:rPr>
            </w:pPr>
            <w:r>
              <w:rPr>
                <w:rFonts w:hint="eastAsia" w:ascii="楷体" w:hAnsi="楷体" w:eastAsia="楷体"/>
                <w:szCs w:val="21"/>
              </w:rPr>
              <w:t>█</w:t>
            </w:r>
            <w:r>
              <w:rPr>
                <w:rFonts w:ascii="宋体" w:hAnsi="宋体" w:eastAsia="宋体"/>
                <w:szCs w:val="21"/>
              </w:rPr>
              <w:t xml:space="preserve"> </w:t>
            </w:r>
            <w:r>
              <w:rPr>
                <w:rFonts w:hint="eastAsia" w:ascii="宋体" w:hAnsi="宋体" w:eastAsia="宋体"/>
                <w:szCs w:val="21"/>
              </w:rPr>
              <w:t>第二十二条：“合伙人基金应选择在东湖新技术开发区注册纳税的具备托管资质的商业银行（分支机构）作为托管银行。”</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违反“市场准入和退出标准”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4</w:t>
            </w:r>
          </w:p>
        </w:tc>
        <w:tc>
          <w:tcPr>
            <w:tcW w:w="1714" w:type="dxa"/>
          </w:tcPr>
          <w:p>
            <w:pPr>
              <w:widowControl w:val="0"/>
              <w:spacing w:line="240" w:lineRule="auto"/>
              <w:jc w:val="both"/>
              <w:rPr>
                <w:rFonts w:ascii="宋体" w:hAnsi="宋体" w:eastAsia="宋体"/>
                <w:szCs w:val="21"/>
              </w:rPr>
            </w:pPr>
            <w:r>
              <w:rPr>
                <w:rFonts w:hint="eastAsia" w:ascii="宋体" w:hAnsi="宋体" w:eastAsia="宋体"/>
                <w:szCs w:val="21"/>
              </w:rPr>
              <w:t>武汉光谷合伙人投资引导基金管理实施细则</w:t>
            </w:r>
          </w:p>
        </w:tc>
        <w:tc>
          <w:tcPr>
            <w:tcW w:w="823" w:type="dxa"/>
          </w:tcPr>
          <w:p>
            <w:pPr>
              <w:widowControl w:val="0"/>
              <w:spacing w:line="240" w:lineRule="auto"/>
              <w:jc w:val="both"/>
              <w:rPr>
                <w:rFonts w:ascii="宋体" w:hAnsi="宋体" w:eastAsia="宋体"/>
                <w:szCs w:val="21"/>
              </w:rPr>
            </w:pPr>
            <w:r>
              <w:rPr>
                <w:rFonts w:hint="eastAsia" w:ascii="宋体" w:hAnsi="宋体" w:eastAsia="宋体"/>
                <w:szCs w:val="21"/>
              </w:rPr>
              <w:t>东湖开发区管委会</w:t>
            </w:r>
          </w:p>
        </w:tc>
        <w:tc>
          <w:tcPr>
            <w:tcW w:w="2277" w:type="dxa"/>
          </w:tcPr>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第四条：“合伙人基金委托武汉光谷金融控股集团有限公司或其下属全资子公司作为受托管理机构负责合伙人基金的日常管理和运作。”</w:t>
            </w:r>
          </w:p>
          <w:p>
            <w:pPr>
              <w:widowControl w:val="0"/>
              <w:snapToGrid w:val="0"/>
              <w:spacing w:line="240" w:lineRule="auto"/>
              <w:jc w:val="both"/>
              <w:rPr>
                <w:rFonts w:ascii="Times New Roman" w:hAnsi="Times New Roman" w:eastAsia="宋体" w:cs="Times New Roman"/>
                <w:szCs w:val="21"/>
              </w:rPr>
            </w:pPr>
          </w:p>
          <w:p>
            <w:pPr>
              <w:widowControl w:val="0"/>
              <w:snapToGrid w:val="0"/>
              <w:spacing w:line="240" w:lineRule="auto"/>
              <w:jc w:val="both"/>
              <w:rPr>
                <w:rFonts w:ascii="Times New Roman" w:hAnsi="Times New Roman" w:eastAsia="宋体" w:cs="Times New Roman"/>
                <w:szCs w:val="21"/>
              </w:rPr>
            </w:pPr>
            <w:r>
              <w:rPr>
                <w:rFonts w:hint="eastAsia" w:ascii="楷体" w:hAnsi="楷体" w:eastAsia="楷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第十八条：“子基金应选择在东湖新技术开发区注册纳税的具备托管资质的商业银行（分支机构）作为托管银行。”</w:t>
            </w:r>
          </w:p>
          <w:p>
            <w:pPr>
              <w:widowControl w:val="0"/>
              <w:snapToGrid w:val="0"/>
              <w:spacing w:line="240" w:lineRule="auto"/>
              <w:jc w:val="both"/>
              <w:rPr>
                <w:rFonts w:ascii="楷体" w:hAnsi="楷体" w:eastAsia="楷体" w:cs="Times New Roman"/>
                <w:szCs w:val="21"/>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违反“市场准入和退出标准”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5</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关于支持“硬核科技”企业创新发展的若干政策</w:t>
            </w:r>
          </w:p>
        </w:tc>
        <w:tc>
          <w:tcPr>
            <w:tcW w:w="823" w:type="dxa"/>
          </w:tcPr>
          <w:p>
            <w:pPr>
              <w:widowControl w:val="0"/>
              <w:spacing w:line="240" w:lineRule="auto"/>
              <w:jc w:val="both"/>
              <w:rPr>
                <w:rFonts w:ascii="宋体" w:hAnsi="宋体" w:eastAsia="宋体"/>
              </w:rPr>
            </w:pPr>
            <w:r>
              <w:rPr>
                <w:rFonts w:hint="eastAsia" w:ascii="宋体" w:hAnsi="宋体" w:eastAsia="宋体"/>
                <w:szCs w:val="21"/>
              </w:rPr>
              <w:t>东湖开发区管委会</w:t>
            </w:r>
          </w:p>
        </w:tc>
        <w:tc>
          <w:tcPr>
            <w:tcW w:w="2277" w:type="dxa"/>
          </w:tcPr>
          <w:p>
            <w:pPr>
              <w:widowControl w:val="0"/>
              <w:snapToGrid w:val="0"/>
              <w:spacing w:line="240" w:lineRule="auto"/>
              <w:jc w:val="both"/>
              <w:rPr>
                <w:rFonts w:ascii="Times New Roman" w:hAnsi="Times New Roman" w:eastAsia="宋体" w:cs="Times New Roman"/>
                <w:szCs w:val="21"/>
              </w:rPr>
            </w:pPr>
            <w:r>
              <w:rPr>
                <w:rFonts w:hint="eastAsia" w:ascii="Times New Roman" w:hAnsi="Times New Roman" w:eastAsia="宋体" w:cs="Times New Roman"/>
                <w:szCs w:val="21"/>
              </w:rPr>
              <w:t>第十条：“对主营业务在3亿元以上的企业，或者……，按照重大产业项目一事一议的方式，在人才引进、研发投入、固定资产投资、项目落户、生产基地建设等方面给予支持。”</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6</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关于支持“硬核科技”企业创新发展的若干政策的实施细则</w:t>
            </w:r>
          </w:p>
        </w:tc>
        <w:tc>
          <w:tcPr>
            <w:tcW w:w="823" w:type="dxa"/>
          </w:tcPr>
          <w:p>
            <w:pPr>
              <w:widowControl w:val="0"/>
              <w:spacing w:line="240" w:lineRule="auto"/>
              <w:jc w:val="both"/>
              <w:rPr>
                <w:rFonts w:ascii="宋体" w:hAnsi="宋体" w:eastAsia="宋体"/>
              </w:rPr>
            </w:pPr>
            <w:r>
              <w:rPr>
                <w:rFonts w:hint="eastAsia" w:ascii="宋体" w:hAnsi="宋体" w:eastAsia="宋体"/>
                <w:szCs w:val="21"/>
              </w:rPr>
              <w:t>东湖开发区管委会</w:t>
            </w:r>
          </w:p>
        </w:tc>
        <w:tc>
          <w:tcPr>
            <w:tcW w:w="2277" w:type="dxa"/>
          </w:tcPr>
          <w:p>
            <w:pPr>
              <w:widowControl w:val="0"/>
              <w:spacing w:line="240" w:lineRule="auto"/>
              <w:jc w:val="both"/>
              <w:rPr>
                <w:rFonts w:ascii="宋体" w:hAnsi="宋体" w:eastAsia="宋体"/>
              </w:rPr>
            </w:pPr>
            <w:r>
              <w:rPr>
                <w:rFonts w:hint="eastAsia" w:ascii="宋体" w:hAnsi="宋体" w:eastAsia="宋体"/>
                <w:szCs w:val="21"/>
              </w:rPr>
              <w:t>第二条之1规定：申请单位应持续经营，依法纳税，具有独立法人资格。</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7</w:t>
            </w:r>
          </w:p>
        </w:tc>
        <w:tc>
          <w:tcPr>
            <w:tcW w:w="1714" w:type="dxa"/>
          </w:tcPr>
          <w:p>
            <w:pPr>
              <w:widowControl w:val="0"/>
              <w:spacing w:line="240" w:lineRule="auto"/>
              <w:jc w:val="both"/>
              <w:rPr>
                <w:rFonts w:ascii="宋体" w:hAnsi="宋体" w:eastAsia="宋体"/>
                <w:szCs w:val="21"/>
              </w:rPr>
            </w:pPr>
            <w:r>
              <w:rPr>
                <w:rFonts w:hint="eastAsia" w:ascii="宋体" w:hAnsi="宋体" w:eastAsia="宋体"/>
                <w:szCs w:val="21"/>
              </w:rPr>
              <w:t>东西湖区关于支持人力资源服务业高质量发展的实施细则</w:t>
            </w:r>
          </w:p>
        </w:tc>
        <w:tc>
          <w:tcPr>
            <w:tcW w:w="823" w:type="dxa"/>
          </w:tcPr>
          <w:p>
            <w:pPr>
              <w:widowControl w:val="0"/>
              <w:spacing w:line="240" w:lineRule="auto"/>
              <w:jc w:val="both"/>
              <w:rPr>
                <w:rFonts w:ascii="宋体" w:hAnsi="宋体" w:eastAsia="宋体"/>
                <w:szCs w:val="21"/>
              </w:rPr>
            </w:pPr>
            <w:r>
              <w:rPr>
                <w:rFonts w:hint="eastAsia" w:ascii="宋体" w:hAnsi="宋体" w:eastAsia="宋体"/>
                <w:szCs w:val="21"/>
              </w:rPr>
              <w:t>东西湖区政府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文件第一条：“本实施细则适用于依法设立、具备行业资质，……的独立法人企业以及投资建设人力资源产业园的建设运营主体。”</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8</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武汉经济技术开发区（汉南区）促进智能网联汽车产业创新发展若干措施</w:t>
            </w:r>
          </w:p>
        </w:tc>
        <w:tc>
          <w:tcPr>
            <w:tcW w:w="823" w:type="dxa"/>
          </w:tcPr>
          <w:p>
            <w:pPr>
              <w:widowControl w:val="0"/>
              <w:spacing w:line="240" w:lineRule="auto"/>
              <w:jc w:val="both"/>
              <w:rPr>
                <w:rFonts w:ascii="宋体" w:hAnsi="宋体" w:eastAsia="宋体"/>
              </w:rPr>
            </w:pPr>
            <w:r>
              <w:rPr>
                <w:rFonts w:hint="eastAsia" w:ascii="宋体" w:hAnsi="宋体" w:eastAsia="宋体"/>
              </w:rPr>
              <w:t>经开区管委会（汉南区政府）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文件第三（七）部分：“在本区注册且对区内企业提供仿真测试服务的，按其服务费收入的1</w:t>
            </w:r>
            <w:r>
              <w:rPr>
                <w:rFonts w:ascii="宋体" w:hAnsi="宋体" w:eastAsia="宋体"/>
                <w:szCs w:val="21"/>
              </w:rPr>
              <w:t>0%</w:t>
            </w:r>
            <w:r>
              <w:rPr>
                <w:rFonts w:hint="eastAsia" w:ascii="宋体" w:hAnsi="宋体" w:eastAsia="宋体"/>
                <w:szCs w:val="21"/>
              </w:rPr>
              <w:t>对服务提供方给予奖励；对区内企业使用本区企业提供的仿真测试服务的，按其使用费的1</w:t>
            </w:r>
            <w:r>
              <w:rPr>
                <w:rFonts w:ascii="宋体" w:hAnsi="宋体" w:eastAsia="宋体"/>
                <w:szCs w:val="21"/>
              </w:rPr>
              <w:t>0%</w:t>
            </w:r>
            <w:r>
              <w:rPr>
                <w:rFonts w:hint="eastAsia" w:ascii="宋体" w:hAnsi="宋体" w:eastAsia="宋体"/>
                <w:szCs w:val="21"/>
              </w:rPr>
              <w:t>对服务使用方给予奖励。”</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文件第四（十一）部分：“在本区注册且对区内企业提供该数据服务的，按其服务费收入的1</w:t>
            </w:r>
            <w:r>
              <w:rPr>
                <w:rFonts w:ascii="宋体" w:hAnsi="宋体" w:eastAsia="宋体"/>
                <w:szCs w:val="21"/>
              </w:rPr>
              <w:t>0%</w:t>
            </w:r>
            <w:r>
              <w:rPr>
                <w:rFonts w:hint="eastAsia" w:ascii="宋体" w:hAnsi="宋体" w:eastAsia="宋体"/>
                <w:szCs w:val="21"/>
              </w:rPr>
              <w:t>对服务提供方给予奖励；对区内企业使用本区企业提供有关数据服务的，按其使用费的1</w:t>
            </w:r>
            <w:r>
              <w:rPr>
                <w:rFonts w:ascii="宋体" w:hAnsi="宋体" w:eastAsia="宋体"/>
                <w:szCs w:val="21"/>
              </w:rPr>
              <w:t>0%</w:t>
            </w:r>
            <w:r>
              <w:rPr>
                <w:rFonts w:hint="eastAsia" w:ascii="宋体" w:hAnsi="宋体" w:eastAsia="宋体"/>
                <w:szCs w:val="21"/>
              </w:rPr>
              <w:t>对服务使用方给予奖励。”</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文件附则部分：“本措施适用于在武汉经济技术开发区内注册登记，具有独立法人资格的智能网联产业领域各类所有制企业。”</w:t>
            </w:r>
          </w:p>
          <w:p>
            <w:pPr>
              <w:widowControl w:val="0"/>
              <w:spacing w:line="240" w:lineRule="auto"/>
              <w:jc w:val="both"/>
              <w:rPr>
                <w:rFonts w:ascii="宋体" w:hAnsi="宋体" w:eastAsia="宋体"/>
                <w:szCs w:val="21"/>
              </w:rPr>
            </w:pPr>
          </w:p>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 附则部分：“对投资总额大、产业关联度高、带动性强、对地方经济发展贡献大的重点项目，经武汉经济技术开发区管委会（汉南区政府）同意，采取'一企一策''一事一议'的方式给予支持。”</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szCs w:val="21"/>
              </w:rPr>
              <w:t>违反“市场准入和退出标准”</w:t>
            </w: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rFonts w:ascii="宋体" w:hAnsi="宋体" w:eastAsia="宋体"/>
                <w:szCs w:val="21"/>
              </w:rPr>
            </w:pPr>
            <w:r>
              <w:rPr>
                <w:rFonts w:hint="eastAsia" w:ascii="宋体" w:hAnsi="宋体" w:eastAsia="宋体"/>
                <w:szCs w:val="21"/>
              </w:rPr>
              <w:t>违反“市场准入和退出标准”</w:t>
            </w: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p>
          <w:p>
            <w:pPr>
              <w:widowControl w:val="0"/>
              <w:spacing w:line="240" w:lineRule="auto"/>
              <w:jc w:val="both"/>
              <w:rPr>
                <w:szCs w:val="21"/>
              </w:rPr>
            </w:pPr>
            <w:r>
              <w:rPr>
                <w:rFonts w:hint="eastAsia" w:ascii="宋体" w:hAnsi="宋体" w:eastAsia="宋体"/>
              </w:rPr>
              <w:t>违反“影响生产经营成本标准”</w:t>
            </w:r>
          </w:p>
          <w:p>
            <w:pPr>
              <w:widowControl w:val="0"/>
              <w:spacing w:line="240" w:lineRule="auto"/>
              <w:jc w:val="both"/>
              <w:rPr>
                <w:szCs w:val="21"/>
              </w:rPr>
            </w:pPr>
          </w:p>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1</w:t>
            </w:r>
            <w:r>
              <w:rPr>
                <w:rFonts w:ascii="宋体" w:hAnsi="宋体" w:eastAsia="宋体"/>
              </w:rPr>
              <w:t>9</w:t>
            </w:r>
          </w:p>
        </w:tc>
        <w:tc>
          <w:tcPr>
            <w:tcW w:w="1714" w:type="dxa"/>
          </w:tcPr>
          <w:p>
            <w:pPr>
              <w:widowControl w:val="0"/>
              <w:spacing w:line="240" w:lineRule="auto"/>
              <w:jc w:val="both"/>
              <w:rPr>
                <w:rFonts w:ascii="宋体" w:hAnsi="宋体" w:eastAsia="宋体"/>
              </w:rPr>
            </w:pPr>
            <w:r>
              <w:rPr>
                <w:rFonts w:hint="eastAsia" w:ascii="宋体" w:hAnsi="宋体" w:eastAsia="宋体"/>
              </w:rPr>
              <w:t>武汉经开区促进国家检验检测高技术服务业聚集区（湖北）园区发展办法</w:t>
            </w:r>
          </w:p>
        </w:tc>
        <w:tc>
          <w:tcPr>
            <w:tcW w:w="823" w:type="dxa"/>
          </w:tcPr>
          <w:p>
            <w:pPr>
              <w:widowControl w:val="0"/>
              <w:spacing w:line="240" w:lineRule="auto"/>
              <w:jc w:val="both"/>
              <w:rPr>
                <w:rFonts w:ascii="宋体" w:hAnsi="宋体" w:eastAsia="宋体"/>
              </w:rPr>
            </w:pPr>
            <w:r>
              <w:rPr>
                <w:rFonts w:hint="eastAsia" w:ascii="宋体" w:hAnsi="宋体" w:eastAsia="宋体"/>
              </w:rPr>
              <w:t>武汉经开区管委会（汉南区政府）</w:t>
            </w:r>
          </w:p>
        </w:tc>
        <w:tc>
          <w:tcPr>
            <w:tcW w:w="2277" w:type="dxa"/>
          </w:tcPr>
          <w:p>
            <w:pPr>
              <w:widowControl w:val="0"/>
              <w:snapToGrid w:val="0"/>
              <w:spacing w:line="240" w:lineRule="auto"/>
              <w:jc w:val="both"/>
              <w:rPr>
                <w:rFonts w:ascii="宋体" w:hAnsi="宋体" w:eastAsia="宋体" w:cs="方正仿宋简体"/>
                <w:color w:val="000000"/>
                <w:szCs w:val="21"/>
              </w:rPr>
            </w:pPr>
            <w:r>
              <w:rPr>
                <w:rFonts w:hint="eastAsia" w:ascii="楷体" w:hAnsi="楷体" w:eastAsia="楷体" w:cs="Times New Roman"/>
                <w:szCs w:val="21"/>
              </w:rPr>
              <w:t>█</w:t>
            </w:r>
            <w:r>
              <w:rPr>
                <w:rFonts w:hint="eastAsia" w:ascii="Times New Roman" w:hAnsi="Times New Roman" w:eastAsia="宋体" w:cs="Times New Roman"/>
                <w:szCs w:val="21"/>
              </w:rPr>
              <w:t xml:space="preserve"> 第一章第三条：“</w:t>
            </w:r>
            <w:r>
              <w:rPr>
                <w:rFonts w:hint="eastAsia" w:ascii="宋体" w:hAnsi="宋体" w:eastAsia="宋体" w:cs="方正仿宋简体"/>
                <w:color w:val="000000"/>
                <w:szCs w:val="21"/>
              </w:rPr>
              <w:t>在武汉经开区取得供地的企业（机构）和项目，按“一事一议”的办法来明确优惠政策。”</w:t>
            </w:r>
          </w:p>
          <w:p>
            <w:pPr>
              <w:widowControl w:val="0"/>
              <w:snapToGrid w:val="0"/>
              <w:spacing w:line="240" w:lineRule="auto"/>
              <w:jc w:val="both"/>
              <w:rPr>
                <w:rFonts w:ascii="宋体" w:hAnsi="宋体" w:eastAsia="宋体" w:cs="Times New Roman"/>
                <w:szCs w:val="21"/>
              </w:rPr>
            </w:pPr>
          </w:p>
          <w:p>
            <w:pPr>
              <w:widowControl w:val="0"/>
              <w:snapToGrid w:val="0"/>
              <w:spacing w:line="240" w:lineRule="auto"/>
              <w:jc w:val="both"/>
              <w:rPr>
                <w:rFonts w:ascii="宋体" w:hAnsi="宋体" w:eastAsia="宋体" w:cs="Times New Roman"/>
                <w:szCs w:val="21"/>
              </w:rPr>
            </w:pPr>
          </w:p>
          <w:p>
            <w:pPr>
              <w:widowControl w:val="0"/>
              <w:snapToGrid w:val="0"/>
              <w:spacing w:line="240" w:lineRule="auto"/>
              <w:jc w:val="both"/>
              <w:rPr>
                <w:rFonts w:ascii="宋体" w:hAnsi="宋体" w:eastAsia="宋体" w:cs="Times New Roman"/>
                <w:szCs w:val="21"/>
              </w:rPr>
            </w:pPr>
          </w:p>
          <w:p>
            <w:pPr>
              <w:widowControl w:val="0"/>
              <w:spacing w:line="240" w:lineRule="auto"/>
              <w:jc w:val="both"/>
              <w:rPr>
                <w:rFonts w:ascii="宋体" w:hAnsi="宋体" w:eastAsia="宋体"/>
                <w:szCs w:val="21"/>
              </w:rPr>
            </w:pP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第二章第二条规定，适用本支持政策的“企业（机构）一般应具备独立法人资格</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█第二章第二（一）条：“申请本办法支持的企业承诺自获批之日起1</w:t>
            </w:r>
            <w:r>
              <w:rPr>
                <w:rFonts w:ascii="宋体" w:hAnsi="宋体" w:eastAsia="宋体"/>
                <w:szCs w:val="21"/>
              </w:rPr>
              <w:t>0</w:t>
            </w:r>
            <w:r>
              <w:rPr>
                <w:rFonts w:hint="eastAsia" w:ascii="宋体" w:hAnsi="宋体" w:eastAsia="宋体"/>
                <w:szCs w:val="21"/>
              </w:rPr>
              <w:t>年内不迁离、不改变在武汉经开区的纳税义务……。”</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tc>
        <w:tc>
          <w:tcPr>
            <w:tcW w:w="853" w:type="dxa"/>
          </w:tcPr>
          <w:p>
            <w:pPr>
              <w:widowControl w:val="0"/>
              <w:spacing w:line="240" w:lineRule="auto"/>
              <w:jc w:val="both"/>
              <w:rPr>
                <w:rFonts w:ascii="宋体" w:hAnsi="宋体" w:eastAsia="宋体"/>
              </w:rPr>
            </w:pPr>
            <w:r>
              <w:rPr>
                <w:rFonts w:hint="eastAsia" w:ascii="宋体" w:hAnsi="宋体" w:eastAsia="宋体"/>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0</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洪山区招商引资办法</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洪山区政府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█文件第二条：“本办法适用于新引进注册落户洪山区的具有独立法人资格的重点企业（房地产企业除外）。”</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█文件第二条：“受奖企业须在洪山区进行工商注册、纳税登记、统计核算，且不低于1</w:t>
            </w:r>
            <w:r>
              <w:rPr>
                <w:rFonts w:ascii="宋体" w:hAnsi="宋体" w:eastAsia="宋体"/>
                <w:szCs w:val="21"/>
              </w:rPr>
              <w:t>0</w:t>
            </w:r>
            <w:r>
              <w:rPr>
                <w:rFonts w:hint="eastAsia" w:ascii="宋体" w:hAnsi="宋体" w:eastAsia="宋体"/>
                <w:szCs w:val="21"/>
              </w:rPr>
              <w:t>年。”</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r>
              <w:rPr>
                <w:rFonts w:hint="eastAsia" w:ascii="宋体" w:hAnsi="宋体" w:eastAsia="宋体"/>
                <w:szCs w:val="21"/>
              </w:rPr>
              <w:t>█文件第三（十一）条：“对洪山区具有重大支撑带动作用的企业，经洪山区招商引资工作领导小组认定，采取'一事一议'方式予以支持。”</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违反“市场准入和退出标准”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1</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洪山区促进商贸繁荣发展措施</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洪山区政府</w:t>
            </w:r>
          </w:p>
        </w:tc>
        <w:tc>
          <w:tcPr>
            <w:tcW w:w="2277" w:type="dxa"/>
          </w:tcPr>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文件第七（2）条：“本措施适用于工商注册、税务登记在洪山区并承诺在洪山区经营不低于十年的独立法人商贸企业，……。”</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违反“市场准入和退出标准”及“影响生产经营成本标准”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2</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洪山区推进武汉市区域金融中心建设若干支持政策</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洪山区政府</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█文件第四（六）条：“对洪山区高新技术企业从洪山区纳税的保险机构购买科技保险的，给予其投保费用最高5</w:t>
            </w:r>
            <w:r>
              <w:rPr>
                <w:rFonts w:ascii="宋体" w:hAnsi="宋体" w:eastAsia="宋体"/>
                <w:szCs w:val="21"/>
              </w:rPr>
              <w:t>0%</w:t>
            </w:r>
            <w:r>
              <w:rPr>
                <w:rFonts w:hint="eastAsia" w:ascii="宋体" w:hAnsi="宋体" w:eastAsia="宋体"/>
                <w:szCs w:val="21"/>
              </w:rPr>
              <w:t>的保险补贴，……。”</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szCs w:val="21"/>
              </w:rPr>
              <w:t>█文件第五（九）条：“对区域金融中心建设具有特殊重大影响的金融机构，其支持政策可通过'一事一议'的方式与区政府签署特别协议另行约定。”</w:t>
            </w:r>
          </w:p>
          <w:p>
            <w:pPr>
              <w:widowControl w:val="0"/>
              <w:spacing w:line="240" w:lineRule="auto"/>
              <w:jc w:val="both"/>
              <w:rPr>
                <w:rFonts w:ascii="宋体" w:hAnsi="宋体" w:eastAsia="宋体"/>
                <w:szCs w:val="21"/>
              </w:rPr>
            </w:pPr>
          </w:p>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█文件第五（十一）条：“享受本政策支持的市场主体工商注册、税务登记……，且承诺在获得奖励起</w:t>
            </w:r>
            <w:r>
              <w:rPr>
                <w:rFonts w:ascii="宋体" w:hAnsi="宋体" w:eastAsia="宋体" w:cs="Times New Roman"/>
                <w:szCs w:val="21"/>
              </w:rPr>
              <w:t>10</w:t>
            </w:r>
            <w:r>
              <w:rPr>
                <w:rFonts w:hint="eastAsia" w:ascii="宋体" w:hAnsi="宋体" w:eastAsia="宋体" w:cs="Times New Roman"/>
                <w:szCs w:val="21"/>
              </w:rPr>
              <w:t>年内若迁离洪山区或减少实收资本，则退回相应奖励资金。”</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szCs w:val="21"/>
              </w:rPr>
              <w:t>违反“市场准入和退出标准”</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rPr>
              <w:t>违反“影响生产经营成本标准”</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r>
              <w:rPr>
                <w:rFonts w:hint="eastAsia" w:ascii="宋体" w:hAnsi="宋体" w:eastAsia="宋体"/>
                <w:szCs w:val="21"/>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3</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洪山区支持工业经济和科技创新发展的政策措施</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洪山区政府</w:t>
            </w:r>
          </w:p>
        </w:tc>
        <w:tc>
          <w:tcPr>
            <w:tcW w:w="2277" w:type="dxa"/>
          </w:tcPr>
          <w:p>
            <w:pPr>
              <w:widowControl w:val="0"/>
              <w:spacing w:line="240" w:lineRule="auto"/>
              <w:jc w:val="both"/>
              <w:rPr>
                <w:rFonts w:ascii="宋体" w:hAnsi="宋体" w:eastAsia="宋体"/>
              </w:rPr>
            </w:pPr>
            <w:r>
              <w:rPr>
                <w:rFonts w:hint="eastAsia" w:ascii="宋体" w:hAnsi="宋体" w:eastAsia="宋体"/>
                <w:szCs w:val="21"/>
              </w:rPr>
              <w:t>文件第三（二）条之2规定：“对推动洪山区经济社会高质量发展有突出贡献的企业，在土地供应、资金支持等方面可采取一事一议方式，提请区政府审议决策。”</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rPr>
              <w:t>违反“影响生产经营成本标准”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4</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武汉经开区引进重大农业项目奖补实施细则</w:t>
            </w:r>
          </w:p>
        </w:tc>
        <w:tc>
          <w:tcPr>
            <w:tcW w:w="823" w:type="dxa"/>
          </w:tcPr>
          <w:p>
            <w:pPr>
              <w:widowControl w:val="0"/>
              <w:spacing w:line="240" w:lineRule="auto"/>
              <w:jc w:val="both"/>
              <w:rPr>
                <w:rFonts w:ascii="宋体" w:hAnsi="宋体" w:eastAsia="宋体"/>
              </w:rPr>
            </w:pPr>
            <w:r>
              <w:rPr>
                <w:rFonts w:hint="eastAsia" w:ascii="宋体" w:hAnsi="宋体" w:eastAsia="宋体"/>
                <w:szCs w:val="21"/>
              </w:rPr>
              <w:t>经开区管委会</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█文件第一条：申请项目奖补主体是在“武汉经开区登记注册，具有独立法人资格……的农业项目投资主体或新型农业经营主体”。</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█文件第二（二）条“申请项目奖补条件”规定：“土地流转（使用权或经营权）租期不少于1</w:t>
            </w:r>
            <w:r>
              <w:rPr>
                <w:rFonts w:ascii="宋体" w:hAnsi="宋体" w:eastAsia="宋体" w:cs="Times New Roman"/>
                <w:szCs w:val="21"/>
              </w:rPr>
              <w:t>0</w:t>
            </w:r>
            <w:r>
              <w:rPr>
                <w:rFonts w:hint="eastAsia" w:ascii="宋体" w:hAnsi="宋体" w:eastAsia="宋体" w:cs="Times New Roman"/>
                <w:szCs w:val="21"/>
              </w:rPr>
              <w:t>年。”</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szCs w:val="21"/>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建议适用例外规定出台</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5</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武汉经开区促进创新创业创造发展助力打造国家科技中心3</w:t>
            </w:r>
            <w:r>
              <w:rPr>
                <w:rFonts w:ascii="宋体" w:hAnsi="宋体" w:eastAsia="宋体"/>
                <w:szCs w:val="21"/>
              </w:rPr>
              <w:t>3</w:t>
            </w:r>
            <w:r>
              <w:rPr>
                <w:rFonts w:hint="eastAsia" w:ascii="宋体" w:hAnsi="宋体" w:eastAsia="宋体"/>
                <w:szCs w:val="21"/>
              </w:rPr>
              <w:t>条措施</w:t>
            </w:r>
          </w:p>
        </w:tc>
        <w:tc>
          <w:tcPr>
            <w:tcW w:w="823" w:type="dxa"/>
          </w:tcPr>
          <w:p>
            <w:pPr>
              <w:widowControl w:val="0"/>
              <w:spacing w:line="240" w:lineRule="auto"/>
              <w:jc w:val="both"/>
              <w:rPr>
                <w:rFonts w:ascii="宋体" w:hAnsi="宋体" w:eastAsia="宋体"/>
              </w:rPr>
            </w:pPr>
            <w:r>
              <w:rPr>
                <w:rFonts w:hint="eastAsia" w:ascii="宋体" w:hAnsi="宋体" w:eastAsia="宋体"/>
                <w:szCs w:val="21"/>
              </w:rPr>
              <w:t>经开区管委会</w:t>
            </w:r>
          </w:p>
        </w:tc>
        <w:tc>
          <w:tcPr>
            <w:tcW w:w="2277" w:type="dxa"/>
          </w:tcPr>
          <w:p>
            <w:pPr>
              <w:widowControl w:val="0"/>
              <w:snapToGrid w:val="0"/>
              <w:spacing w:line="240" w:lineRule="auto"/>
              <w:jc w:val="both"/>
              <w:rPr>
                <w:rFonts w:ascii="宋体" w:hAnsi="宋体" w:eastAsia="宋体" w:cs="Times New Roman"/>
                <w:szCs w:val="21"/>
              </w:rPr>
            </w:pPr>
            <w:r>
              <w:rPr>
                <w:rFonts w:hint="eastAsia" w:ascii="楷体" w:hAnsi="楷体" w:eastAsia="楷体" w:cs="Times New Roman"/>
                <w:szCs w:val="21"/>
              </w:rPr>
              <w:t>█</w:t>
            </w:r>
            <w:r>
              <w:rPr>
                <w:rFonts w:hint="eastAsia" w:ascii="宋体" w:hAnsi="宋体" w:eastAsia="宋体" w:cs="Times New Roman"/>
                <w:szCs w:val="21"/>
              </w:rPr>
              <w:t>文件第二（八）条之2</w:t>
            </w:r>
            <w:r>
              <w:rPr>
                <w:rFonts w:ascii="宋体" w:hAnsi="宋体" w:eastAsia="宋体" w:cs="Times New Roman"/>
                <w:szCs w:val="21"/>
              </w:rPr>
              <w:t>0</w:t>
            </w:r>
            <w:r>
              <w:rPr>
                <w:rFonts w:hint="eastAsia" w:ascii="宋体" w:hAnsi="宋体" w:eastAsia="宋体" w:cs="Times New Roman"/>
                <w:szCs w:val="21"/>
              </w:rPr>
              <w:t>规定：“支持国家重点大学、科研院所、龙头企业……，按照重大科技创新平台项目一事一议的方式，在项目落户、购置设备、引进人才、研发投入等方面给予支持。”</w:t>
            </w:r>
          </w:p>
          <w:p>
            <w:pPr>
              <w:widowControl w:val="0"/>
              <w:snapToGrid w:val="0"/>
              <w:spacing w:line="240" w:lineRule="auto"/>
              <w:jc w:val="both"/>
              <w:rPr>
                <w:rFonts w:ascii="宋体" w:hAnsi="宋体" w:eastAsia="宋体" w:cs="Times New Roman"/>
                <w:szCs w:val="21"/>
              </w:rPr>
            </w:pPr>
            <w:r>
              <w:rPr>
                <w:rFonts w:hint="eastAsia" w:ascii="楷体" w:hAnsi="楷体" w:eastAsia="楷体" w:cs="Times New Roman"/>
                <w:szCs w:val="21"/>
              </w:rPr>
              <w:t>█</w:t>
            </w:r>
            <w:r>
              <w:rPr>
                <w:rFonts w:hint="eastAsia" w:ascii="宋体" w:hAnsi="宋体" w:eastAsia="宋体" w:cs="Times New Roman"/>
                <w:szCs w:val="21"/>
              </w:rPr>
              <w:t>文件第二（九）条之2</w:t>
            </w:r>
            <w:r>
              <w:rPr>
                <w:rFonts w:ascii="宋体" w:hAnsi="宋体" w:eastAsia="宋体" w:cs="Times New Roman"/>
                <w:szCs w:val="21"/>
              </w:rPr>
              <w:t>2</w:t>
            </w:r>
            <w:r>
              <w:rPr>
                <w:rFonts w:hint="eastAsia" w:ascii="宋体" w:hAnsi="宋体" w:eastAsia="宋体" w:cs="Times New Roman"/>
                <w:szCs w:val="21"/>
              </w:rPr>
              <w:t>规定：“对落户武汉经开区的院士专家项目，经论证评估，按照一事一议的方式，……。”</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rPr>
              <w:t>违反“影响生产经营成本标准”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6</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武汉经开区进一步促进知识产权高质量发展办法</w:t>
            </w:r>
          </w:p>
        </w:tc>
        <w:tc>
          <w:tcPr>
            <w:tcW w:w="823" w:type="dxa"/>
          </w:tcPr>
          <w:p>
            <w:pPr>
              <w:widowControl w:val="0"/>
              <w:spacing w:line="240" w:lineRule="auto"/>
              <w:jc w:val="both"/>
              <w:rPr>
                <w:rFonts w:ascii="宋体" w:hAnsi="宋体" w:eastAsia="宋体"/>
              </w:rPr>
            </w:pPr>
            <w:r>
              <w:rPr>
                <w:rFonts w:hint="eastAsia" w:ascii="宋体" w:hAnsi="宋体" w:eastAsia="宋体"/>
                <w:szCs w:val="21"/>
              </w:rPr>
              <w:t>经开区管委会</w:t>
            </w:r>
          </w:p>
        </w:tc>
        <w:tc>
          <w:tcPr>
            <w:tcW w:w="2277" w:type="dxa"/>
          </w:tcPr>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文件第二条：“申请本办法资金的单位5年内不得迁离注册地址、不改变在本区的……。”</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szCs w:val="21"/>
              </w:rPr>
              <w:t>违反“市场准入和退出标准”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7</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武汉临空港经济技术开发区管委会关于促进创新提能的若干政策措施</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武汉临空港开发区管委会（东西湖区）</w:t>
            </w:r>
          </w:p>
        </w:tc>
        <w:tc>
          <w:tcPr>
            <w:tcW w:w="2277" w:type="dxa"/>
          </w:tcPr>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文件第十五条规定：“本文件适用于工商注册、纳税登记……，具备独立法人资格，依法纳税……。”</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rPr>
              <w:t>违反“影响生产经营成本标准”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8</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武汉临空港经济技术开发区管委会关于促进工业经济高质量发展的政策措施</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武汉临空港开发区管委会（东西湖区）</w:t>
            </w:r>
          </w:p>
        </w:tc>
        <w:tc>
          <w:tcPr>
            <w:tcW w:w="2277" w:type="dxa"/>
          </w:tcPr>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文件第九条：“鼓励区内企业互相采购，对规模以上区内制造业企业购买无资产关联关系的区内制造业企业生产的产品和服务，……给予买方企业当年购买总额的2</w:t>
            </w:r>
            <w:r>
              <w:rPr>
                <w:rFonts w:ascii="宋体" w:hAnsi="宋体" w:eastAsia="宋体" w:cs="Times New Roman"/>
                <w:szCs w:val="21"/>
              </w:rPr>
              <w:t>%</w:t>
            </w:r>
            <w:r>
              <w:rPr>
                <w:rFonts w:hint="eastAsia" w:ascii="宋体" w:hAnsi="宋体" w:eastAsia="宋体" w:cs="Times New Roman"/>
                <w:szCs w:val="21"/>
              </w:rPr>
              <w:t>补贴……。”</w:t>
            </w:r>
          </w:p>
          <w:p>
            <w:pPr>
              <w:widowControl w:val="0"/>
              <w:spacing w:line="240" w:lineRule="auto"/>
              <w:jc w:val="both"/>
              <w:rPr>
                <w:rFonts w:ascii="宋体" w:hAnsi="宋体" w:eastAsia="宋体"/>
              </w:rPr>
            </w:pPr>
          </w:p>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文件第十一条：“本文件适用于工商注册、纳税登记、统计核算关系均在本区的企业，具备独立法人资格……。”</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szCs w:val="21"/>
              </w:rPr>
              <w:t>违反“市场准入和退出标准”</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2</w:t>
            </w:r>
            <w:r>
              <w:rPr>
                <w:rFonts w:ascii="宋体" w:hAnsi="宋体" w:eastAsia="宋体"/>
              </w:rPr>
              <w:t>9</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关于支持武汉基金产业基地高质量发展的若干措施</w:t>
            </w:r>
          </w:p>
        </w:tc>
        <w:tc>
          <w:tcPr>
            <w:tcW w:w="823" w:type="dxa"/>
          </w:tcPr>
          <w:p>
            <w:pPr>
              <w:widowControl w:val="0"/>
              <w:spacing w:line="240" w:lineRule="auto"/>
              <w:jc w:val="both"/>
              <w:rPr>
                <w:rFonts w:ascii="宋体" w:hAnsi="宋体" w:eastAsia="宋体"/>
              </w:rPr>
            </w:pPr>
            <w:r>
              <w:rPr>
                <w:rFonts w:hint="eastAsia" w:ascii="宋体" w:hAnsi="宋体" w:eastAsia="宋体"/>
                <w:szCs w:val="21"/>
              </w:rPr>
              <w:t>汉阳区政府</w:t>
            </w:r>
          </w:p>
        </w:tc>
        <w:tc>
          <w:tcPr>
            <w:tcW w:w="2277" w:type="dxa"/>
          </w:tcPr>
          <w:p>
            <w:pPr>
              <w:widowControl w:val="0"/>
              <w:snapToGrid w:val="0"/>
              <w:spacing w:line="240" w:lineRule="auto"/>
              <w:jc w:val="both"/>
              <w:rPr>
                <w:rFonts w:ascii="宋体" w:hAnsi="宋体" w:eastAsia="宋体" w:cs="Times New Roman"/>
                <w:szCs w:val="21"/>
              </w:rPr>
            </w:pPr>
            <w:r>
              <w:rPr>
                <w:rFonts w:hint="eastAsia" w:ascii="宋体" w:hAnsi="宋体" w:eastAsia="宋体" w:cs="Times New Roman"/>
                <w:szCs w:val="21"/>
              </w:rPr>
              <w:t>文件第二十条：“享受本措施的私募基金机构……，自注册之日起正常经营期限不低于十年，如从汉阳迁离、注销或转移核心业务的，需全额退还政策补助资金。”</w:t>
            </w:r>
          </w:p>
          <w:p>
            <w:pPr>
              <w:widowControl w:val="0"/>
              <w:spacing w:line="240" w:lineRule="auto"/>
              <w:jc w:val="both"/>
              <w:rPr>
                <w:rFonts w:ascii="宋体" w:hAnsi="宋体" w:eastAsia="宋体"/>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szCs w:val="21"/>
              </w:rPr>
              <w:t>违反“市场准入和退出标准”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3</w:t>
            </w:r>
            <w:r>
              <w:rPr>
                <w:rFonts w:ascii="宋体" w:hAnsi="宋体" w:eastAsia="宋体"/>
              </w:rPr>
              <w:t>0</w:t>
            </w:r>
          </w:p>
        </w:tc>
        <w:tc>
          <w:tcPr>
            <w:tcW w:w="1714" w:type="dxa"/>
          </w:tcPr>
          <w:p>
            <w:pPr>
              <w:widowControl w:val="0"/>
              <w:spacing w:line="240" w:lineRule="auto"/>
              <w:jc w:val="both"/>
              <w:rPr>
                <w:rFonts w:ascii="宋体" w:hAnsi="宋体" w:eastAsia="宋体"/>
              </w:rPr>
            </w:pPr>
            <w:r>
              <w:rPr>
                <w:rFonts w:hint="eastAsia" w:ascii="宋体" w:hAnsi="宋体" w:eastAsia="宋体"/>
                <w:szCs w:val="21"/>
              </w:rPr>
              <w:t>关于促进会展业发展的若干政策</w:t>
            </w:r>
          </w:p>
        </w:tc>
        <w:tc>
          <w:tcPr>
            <w:tcW w:w="823" w:type="dxa"/>
          </w:tcPr>
          <w:p>
            <w:pPr>
              <w:widowControl w:val="0"/>
              <w:spacing w:line="240" w:lineRule="auto"/>
              <w:jc w:val="both"/>
              <w:rPr>
                <w:rFonts w:ascii="宋体" w:hAnsi="宋体" w:eastAsia="宋体"/>
              </w:rPr>
            </w:pPr>
            <w:r>
              <w:rPr>
                <w:rFonts w:hint="eastAsia" w:ascii="宋体" w:hAnsi="宋体" w:eastAsia="宋体"/>
                <w:szCs w:val="21"/>
              </w:rPr>
              <w:t>东湖开发区管委会</w:t>
            </w:r>
          </w:p>
        </w:tc>
        <w:tc>
          <w:tcPr>
            <w:tcW w:w="2277" w:type="dxa"/>
          </w:tcPr>
          <w:p>
            <w:pPr>
              <w:widowControl w:val="0"/>
              <w:spacing w:line="240" w:lineRule="auto"/>
              <w:jc w:val="both"/>
              <w:rPr>
                <w:rFonts w:ascii="宋体" w:hAnsi="宋体" w:eastAsia="宋体"/>
                <w:szCs w:val="21"/>
              </w:rPr>
            </w:pPr>
            <w:r>
              <w:rPr>
                <w:rFonts w:hint="eastAsia" w:ascii="宋体" w:hAnsi="宋体" w:eastAsia="宋体"/>
                <w:szCs w:val="21"/>
              </w:rPr>
              <w:t>█文件第一条：“本政策所指企业是……，具有独立法人资格并在区内举办符合东湖高新区产业发展方向的……企业。”</w:t>
            </w: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szCs w:val="21"/>
              </w:rPr>
            </w:pPr>
          </w:p>
          <w:p>
            <w:pPr>
              <w:widowControl w:val="0"/>
              <w:spacing w:line="240" w:lineRule="auto"/>
              <w:jc w:val="both"/>
              <w:rPr>
                <w:rFonts w:ascii="宋体" w:hAnsi="宋体" w:eastAsia="宋体"/>
              </w:rPr>
            </w:pPr>
            <w:r>
              <w:rPr>
                <w:rFonts w:hint="eastAsia" w:ascii="宋体" w:hAnsi="宋体" w:eastAsia="宋体"/>
                <w:szCs w:val="21"/>
              </w:rPr>
              <w:t>█文件第七条：“对在东湖高新区注册登记、依法纳税……的独立法人企业，年度主营业务收入首次达1</w:t>
            </w:r>
            <w:r>
              <w:rPr>
                <w:rFonts w:ascii="宋体" w:hAnsi="宋体" w:eastAsia="宋体"/>
                <w:szCs w:val="21"/>
              </w:rPr>
              <w:t>000</w:t>
            </w:r>
            <w:r>
              <w:rPr>
                <w:rFonts w:hint="eastAsia" w:ascii="宋体" w:hAnsi="宋体" w:eastAsia="宋体"/>
                <w:szCs w:val="21"/>
              </w:rPr>
              <w:t>万元的，给予一次性1</w:t>
            </w:r>
            <w:r>
              <w:rPr>
                <w:rFonts w:ascii="宋体" w:hAnsi="宋体" w:eastAsia="宋体"/>
                <w:szCs w:val="21"/>
              </w:rPr>
              <w:t>0</w:t>
            </w:r>
            <w:r>
              <w:rPr>
                <w:rFonts w:hint="eastAsia" w:ascii="宋体" w:hAnsi="宋体" w:eastAsia="宋体"/>
                <w:szCs w:val="21"/>
              </w:rPr>
              <w:t>万元奖励……。”</w:t>
            </w: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rPr>
            </w:pPr>
            <w:r>
              <w:rPr>
                <w:rFonts w:hint="eastAsia" w:ascii="宋体" w:hAnsi="宋体" w:eastAsia="宋体"/>
              </w:rPr>
              <w:t>违反“影响生产经营成本标准”</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违反“影响生产经营成本标准”</w:t>
            </w: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widowControl w:val="0"/>
              <w:spacing w:line="240" w:lineRule="auto"/>
              <w:jc w:val="both"/>
              <w:rPr>
                <w:rFonts w:ascii="宋体" w:hAnsi="宋体" w:eastAsia="宋体"/>
              </w:rPr>
            </w:pPr>
            <w:r>
              <w:rPr>
                <w:rFonts w:hint="eastAsia" w:ascii="宋体" w:hAnsi="宋体" w:eastAsia="宋体"/>
              </w:rPr>
              <w:t>3</w:t>
            </w:r>
            <w:r>
              <w:rPr>
                <w:rFonts w:ascii="宋体" w:hAnsi="宋体" w:eastAsia="宋体"/>
              </w:rPr>
              <w:t>1</w:t>
            </w:r>
          </w:p>
        </w:tc>
        <w:tc>
          <w:tcPr>
            <w:tcW w:w="1714" w:type="dxa"/>
          </w:tcPr>
          <w:p>
            <w:pPr>
              <w:widowControl w:val="0"/>
              <w:spacing w:line="240" w:lineRule="auto"/>
              <w:jc w:val="both"/>
              <w:rPr>
                <w:rFonts w:ascii="宋体" w:hAnsi="宋体" w:eastAsia="宋体"/>
                <w:szCs w:val="21"/>
              </w:rPr>
            </w:pPr>
            <w:r>
              <w:rPr>
                <w:rFonts w:hint="eastAsia" w:ascii="宋体" w:hAnsi="宋体" w:eastAsia="宋体"/>
                <w:szCs w:val="21"/>
              </w:rPr>
              <w:t>关于推动制造业高质量发展的若干政策</w:t>
            </w:r>
          </w:p>
        </w:tc>
        <w:tc>
          <w:tcPr>
            <w:tcW w:w="823" w:type="dxa"/>
          </w:tcPr>
          <w:p>
            <w:pPr>
              <w:widowControl w:val="0"/>
              <w:spacing w:line="240" w:lineRule="auto"/>
              <w:jc w:val="both"/>
              <w:rPr>
                <w:rFonts w:ascii="宋体" w:hAnsi="宋体" w:eastAsia="宋体"/>
                <w:szCs w:val="21"/>
              </w:rPr>
            </w:pPr>
            <w:r>
              <w:rPr>
                <w:rFonts w:hint="eastAsia" w:ascii="宋体" w:hAnsi="宋体" w:eastAsia="宋体"/>
                <w:szCs w:val="21"/>
              </w:rPr>
              <w:t>东湖开发区管委会</w:t>
            </w:r>
          </w:p>
        </w:tc>
        <w:tc>
          <w:tcPr>
            <w:tcW w:w="2277" w:type="dxa"/>
          </w:tcPr>
          <w:p>
            <w:pPr>
              <w:widowControl w:val="0"/>
              <w:snapToGrid w:val="0"/>
              <w:spacing w:line="240" w:lineRule="auto"/>
              <w:jc w:val="both"/>
              <w:rPr>
                <w:rFonts w:ascii="宋体" w:hAnsi="宋体" w:eastAsia="宋体" w:cs="Times New Roman"/>
                <w:szCs w:val="21"/>
              </w:rPr>
            </w:pPr>
            <w:r>
              <w:rPr>
                <w:rFonts w:ascii="宋体" w:hAnsi="宋体" w:eastAsia="宋体" w:cs="Times New Roman"/>
                <w:szCs w:val="21"/>
              </w:rPr>
              <w:t>文件中“产业链协同和融通发展补贴”部分规定：区内规上企业在同等质量条件下采购区内无</w:t>
            </w:r>
            <w:r>
              <w:rPr>
                <w:rFonts w:hint="eastAsia" w:ascii="宋体" w:hAnsi="宋体" w:eastAsia="宋体" w:cs="Times New Roman"/>
                <w:szCs w:val="21"/>
              </w:rPr>
              <w:t>资产</w:t>
            </w:r>
            <w:r>
              <w:rPr>
                <w:rFonts w:ascii="宋体" w:hAnsi="宋体" w:eastAsia="宋体" w:cs="Times New Roman"/>
                <w:szCs w:val="21"/>
              </w:rPr>
              <w:t>关</w:t>
            </w:r>
            <w:r>
              <w:rPr>
                <w:rFonts w:hint="eastAsia" w:ascii="宋体" w:hAnsi="宋体" w:eastAsia="宋体" w:cs="Times New Roman"/>
                <w:szCs w:val="21"/>
              </w:rPr>
              <w:t>联工业企业所生产的产品、零部件，对采购方按照上一年度采购金额的5</w:t>
            </w:r>
            <w:r>
              <w:rPr>
                <w:rFonts w:ascii="宋体" w:hAnsi="宋体" w:eastAsia="宋体" w:cs="Times New Roman"/>
                <w:szCs w:val="21"/>
              </w:rPr>
              <w:t>%予以奖励；采购高新区内</w:t>
            </w:r>
            <w:r>
              <w:rPr>
                <w:rFonts w:hint="eastAsia" w:ascii="宋体" w:hAnsi="宋体" w:eastAsia="宋体" w:cs="Times New Roman"/>
                <w:szCs w:val="21"/>
              </w:rPr>
              <w:t>无资产关联关系工业企业所生产的产品及生产线服务企业的软件等，按照区内采购金额的5</w:t>
            </w:r>
            <w:r>
              <w:rPr>
                <w:rFonts w:ascii="宋体" w:hAnsi="宋体" w:eastAsia="宋体" w:cs="Times New Roman"/>
                <w:szCs w:val="21"/>
              </w:rPr>
              <w:t>%予以奖励。</w:t>
            </w:r>
          </w:p>
          <w:p>
            <w:pPr>
              <w:widowControl w:val="0"/>
              <w:spacing w:line="240" w:lineRule="auto"/>
              <w:jc w:val="both"/>
              <w:rPr>
                <w:rFonts w:ascii="宋体" w:hAnsi="宋体" w:eastAsia="宋体"/>
                <w:szCs w:val="21"/>
              </w:rPr>
            </w:pPr>
          </w:p>
        </w:tc>
        <w:tc>
          <w:tcPr>
            <w:tcW w:w="921" w:type="dxa"/>
          </w:tcPr>
          <w:p>
            <w:pPr>
              <w:widowControl w:val="0"/>
              <w:spacing w:line="240" w:lineRule="auto"/>
              <w:jc w:val="both"/>
              <w:rPr>
                <w:rFonts w:ascii="宋体" w:hAnsi="宋体" w:eastAsia="宋体"/>
              </w:rPr>
            </w:pPr>
            <w:r>
              <w:rPr>
                <w:rFonts w:hint="eastAsia" w:ascii="宋体" w:hAnsi="宋体" w:eastAsia="宋体"/>
              </w:rPr>
              <w:t>不违反相关标准</w:t>
            </w:r>
          </w:p>
          <w:p>
            <w:pPr>
              <w:widowControl w:val="0"/>
              <w:spacing w:line="240" w:lineRule="auto"/>
              <w:jc w:val="both"/>
              <w:rPr>
                <w:rFonts w:ascii="宋体" w:hAnsi="宋体" w:eastAsia="宋体"/>
              </w:rPr>
            </w:pPr>
          </w:p>
        </w:tc>
        <w:tc>
          <w:tcPr>
            <w:tcW w:w="812" w:type="dxa"/>
          </w:tcPr>
          <w:p>
            <w:pPr>
              <w:widowControl w:val="0"/>
              <w:spacing w:line="240" w:lineRule="auto"/>
              <w:jc w:val="both"/>
              <w:rPr>
                <w:rFonts w:ascii="宋体" w:hAnsi="宋体" w:eastAsia="宋体"/>
                <w:szCs w:val="21"/>
              </w:rPr>
            </w:pPr>
            <w:r>
              <w:rPr>
                <w:rFonts w:hint="eastAsia" w:ascii="宋体" w:hAnsi="宋体" w:eastAsia="宋体"/>
                <w:szCs w:val="21"/>
              </w:rPr>
              <w:t>违反“市场准入和退出标准”</w:t>
            </w:r>
          </w:p>
          <w:p>
            <w:pPr>
              <w:widowControl w:val="0"/>
              <w:spacing w:line="240" w:lineRule="auto"/>
              <w:jc w:val="both"/>
              <w:rPr>
                <w:rFonts w:ascii="宋体" w:hAnsi="宋体" w:eastAsia="宋体"/>
              </w:rPr>
            </w:pPr>
          </w:p>
        </w:tc>
        <w:tc>
          <w:tcPr>
            <w:tcW w:w="674" w:type="dxa"/>
          </w:tcPr>
          <w:p>
            <w:pPr>
              <w:widowControl w:val="0"/>
              <w:spacing w:line="240" w:lineRule="auto"/>
              <w:jc w:val="both"/>
              <w:rPr>
                <w:rFonts w:ascii="宋体" w:hAnsi="宋体" w:eastAsia="宋体"/>
              </w:rPr>
            </w:pPr>
            <w:r>
              <w:rPr>
                <w:rFonts w:hint="eastAsia" w:ascii="宋体" w:hAnsi="宋体" w:eastAsia="宋体"/>
              </w:rPr>
              <w:t>建议修改</w:t>
            </w:r>
          </w:p>
        </w:tc>
        <w:tc>
          <w:tcPr>
            <w:tcW w:w="853" w:type="dxa"/>
          </w:tcPr>
          <w:p>
            <w:pPr>
              <w:widowControl w:val="0"/>
              <w:spacing w:line="240" w:lineRule="auto"/>
              <w:jc w:val="both"/>
              <w:rPr>
                <w:rFonts w:ascii="宋体" w:hAnsi="宋体" w:eastAsia="宋体"/>
              </w:rPr>
            </w:pPr>
            <w:r>
              <w:rPr>
                <w:rFonts w:hint="eastAsia" w:ascii="宋体" w:hAnsi="宋体" w:eastAsia="宋体"/>
              </w:rPr>
              <w:t>下半年</w:t>
            </w:r>
          </w:p>
        </w:tc>
      </w:tr>
    </w:tbl>
    <w:p>
      <w:pPr>
        <w:widowControl w:val="0"/>
        <w:spacing w:line="240" w:lineRule="auto"/>
        <w:jc w:val="both"/>
        <w:rPr>
          <w:rFonts w:ascii="宋体" w:hAnsi="宋体" w:eastAsia="宋体"/>
        </w:rPr>
      </w:pPr>
    </w:p>
    <w:p>
      <w:pPr>
        <w:widowControl w:val="0"/>
        <w:spacing w:line="240" w:lineRule="auto"/>
        <w:jc w:val="both"/>
        <w:rPr>
          <w:rFonts w:ascii="宋体" w:hAnsi="宋体" w:eastAsia="宋体"/>
        </w:rPr>
      </w:pPr>
    </w:p>
    <w:p>
      <w:pPr>
        <w:rPr>
          <w:rFonts w:ascii="宋体" w:hAnsi="宋体" w:eastAsia="宋体"/>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606774280"/>
                          </w:sdtPr>
                          <w:sdtEndPr>
                            <w:rPr>
                              <w:rFonts w:hint="default" w:ascii="Times New Roman" w:hAnsi="Times New Roman" w:cs="Times New Roman"/>
                              <w:sz w:val="28"/>
                              <w:szCs w:val="28"/>
                            </w:rPr>
                          </w:sdtEndPr>
                          <w:sdt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606774280"/>
                    </w:sdtPr>
                    <w:sdtEndPr>
                      <w:rPr>
                        <w:rFonts w:hint="default" w:ascii="Times New Roman" w:hAnsi="Times New Roman" w:cs="Times New Roman"/>
                        <w:sz w:val="28"/>
                        <w:szCs w:val="28"/>
                      </w:rPr>
                    </w:sdtEndPr>
                    <w:sdt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4E"/>
    <w:rsid w:val="000038E8"/>
    <w:rsid w:val="0000416B"/>
    <w:rsid w:val="00011292"/>
    <w:rsid w:val="00011550"/>
    <w:rsid w:val="00014B03"/>
    <w:rsid w:val="000210DA"/>
    <w:rsid w:val="000251E4"/>
    <w:rsid w:val="00032616"/>
    <w:rsid w:val="00042B43"/>
    <w:rsid w:val="000448CC"/>
    <w:rsid w:val="00045079"/>
    <w:rsid w:val="0004710A"/>
    <w:rsid w:val="00051C64"/>
    <w:rsid w:val="00061830"/>
    <w:rsid w:val="0007502A"/>
    <w:rsid w:val="0007560D"/>
    <w:rsid w:val="000821D2"/>
    <w:rsid w:val="0009005E"/>
    <w:rsid w:val="00091C89"/>
    <w:rsid w:val="00093537"/>
    <w:rsid w:val="000A3729"/>
    <w:rsid w:val="000A6FA6"/>
    <w:rsid w:val="000B693B"/>
    <w:rsid w:val="000B7322"/>
    <w:rsid w:val="000C0E7B"/>
    <w:rsid w:val="000C4C07"/>
    <w:rsid w:val="000C56DB"/>
    <w:rsid w:val="000D5EF8"/>
    <w:rsid w:val="000D65EC"/>
    <w:rsid w:val="000D6D96"/>
    <w:rsid w:val="000D6F5D"/>
    <w:rsid w:val="000E353B"/>
    <w:rsid w:val="000E5E5E"/>
    <w:rsid w:val="000F1C0C"/>
    <w:rsid w:val="000F1FF0"/>
    <w:rsid w:val="000F4ECA"/>
    <w:rsid w:val="000F5481"/>
    <w:rsid w:val="0010199A"/>
    <w:rsid w:val="00107753"/>
    <w:rsid w:val="00112842"/>
    <w:rsid w:val="0011742B"/>
    <w:rsid w:val="00117692"/>
    <w:rsid w:val="00120047"/>
    <w:rsid w:val="00121FA2"/>
    <w:rsid w:val="00122543"/>
    <w:rsid w:val="00123EED"/>
    <w:rsid w:val="00124301"/>
    <w:rsid w:val="001254E0"/>
    <w:rsid w:val="001322AC"/>
    <w:rsid w:val="00137E5E"/>
    <w:rsid w:val="00137F50"/>
    <w:rsid w:val="00141181"/>
    <w:rsid w:val="0014457E"/>
    <w:rsid w:val="00145534"/>
    <w:rsid w:val="00150BD2"/>
    <w:rsid w:val="00157BDD"/>
    <w:rsid w:val="00161792"/>
    <w:rsid w:val="001652D0"/>
    <w:rsid w:val="001718CE"/>
    <w:rsid w:val="001760F3"/>
    <w:rsid w:val="00176480"/>
    <w:rsid w:val="00176C59"/>
    <w:rsid w:val="0018026E"/>
    <w:rsid w:val="001812A3"/>
    <w:rsid w:val="001825D3"/>
    <w:rsid w:val="00183C60"/>
    <w:rsid w:val="00195C71"/>
    <w:rsid w:val="001A2F7E"/>
    <w:rsid w:val="001B3431"/>
    <w:rsid w:val="001D5DE7"/>
    <w:rsid w:val="001D7E44"/>
    <w:rsid w:val="001E1456"/>
    <w:rsid w:val="001F3FF8"/>
    <w:rsid w:val="00201B95"/>
    <w:rsid w:val="002063B2"/>
    <w:rsid w:val="0022147E"/>
    <w:rsid w:val="002237C8"/>
    <w:rsid w:val="00223CEE"/>
    <w:rsid w:val="00232741"/>
    <w:rsid w:val="0023330F"/>
    <w:rsid w:val="00237AF0"/>
    <w:rsid w:val="00242114"/>
    <w:rsid w:val="00243FC1"/>
    <w:rsid w:val="00243FD3"/>
    <w:rsid w:val="00250C61"/>
    <w:rsid w:val="0025387D"/>
    <w:rsid w:val="0025551F"/>
    <w:rsid w:val="002639E9"/>
    <w:rsid w:val="00265DCE"/>
    <w:rsid w:val="002752C0"/>
    <w:rsid w:val="00283C2A"/>
    <w:rsid w:val="002843C6"/>
    <w:rsid w:val="00284D74"/>
    <w:rsid w:val="0029421F"/>
    <w:rsid w:val="00296B95"/>
    <w:rsid w:val="002A5109"/>
    <w:rsid w:val="002A6D79"/>
    <w:rsid w:val="002B0352"/>
    <w:rsid w:val="002B4AD2"/>
    <w:rsid w:val="002C4400"/>
    <w:rsid w:val="002D43ED"/>
    <w:rsid w:val="002E37EC"/>
    <w:rsid w:val="002E44B4"/>
    <w:rsid w:val="002E47B0"/>
    <w:rsid w:val="002E4E7F"/>
    <w:rsid w:val="002E51F3"/>
    <w:rsid w:val="002E5905"/>
    <w:rsid w:val="002F0BBE"/>
    <w:rsid w:val="002F3B1E"/>
    <w:rsid w:val="002F73C8"/>
    <w:rsid w:val="003067A6"/>
    <w:rsid w:val="0030751E"/>
    <w:rsid w:val="0030782D"/>
    <w:rsid w:val="0031078A"/>
    <w:rsid w:val="00312551"/>
    <w:rsid w:val="00313365"/>
    <w:rsid w:val="00317FE9"/>
    <w:rsid w:val="00320C08"/>
    <w:rsid w:val="00325ADE"/>
    <w:rsid w:val="0032650A"/>
    <w:rsid w:val="003301A3"/>
    <w:rsid w:val="00346C2E"/>
    <w:rsid w:val="00363EF6"/>
    <w:rsid w:val="00363F54"/>
    <w:rsid w:val="00364A6D"/>
    <w:rsid w:val="00365154"/>
    <w:rsid w:val="003666F5"/>
    <w:rsid w:val="00367C86"/>
    <w:rsid w:val="0037155C"/>
    <w:rsid w:val="00374D5B"/>
    <w:rsid w:val="003775DC"/>
    <w:rsid w:val="003906A3"/>
    <w:rsid w:val="00393555"/>
    <w:rsid w:val="003936E0"/>
    <w:rsid w:val="003951E5"/>
    <w:rsid w:val="003955E7"/>
    <w:rsid w:val="00397699"/>
    <w:rsid w:val="003A32D7"/>
    <w:rsid w:val="003C193B"/>
    <w:rsid w:val="003C3623"/>
    <w:rsid w:val="003C3A46"/>
    <w:rsid w:val="003C59CB"/>
    <w:rsid w:val="003C6320"/>
    <w:rsid w:val="003C6EDD"/>
    <w:rsid w:val="003C77EB"/>
    <w:rsid w:val="003D3CE6"/>
    <w:rsid w:val="003D7E54"/>
    <w:rsid w:val="003E3C2A"/>
    <w:rsid w:val="003E5810"/>
    <w:rsid w:val="003E5896"/>
    <w:rsid w:val="003E7A3D"/>
    <w:rsid w:val="003E7C2D"/>
    <w:rsid w:val="003F259B"/>
    <w:rsid w:val="003F569F"/>
    <w:rsid w:val="003F7C1C"/>
    <w:rsid w:val="0040506F"/>
    <w:rsid w:val="00406333"/>
    <w:rsid w:val="004147CD"/>
    <w:rsid w:val="00433901"/>
    <w:rsid w:val="004361BF"/>
    <w:rsid w:val="00437A5B"/>
    <w:rsid w:val="0044413D"/>
    <w:rsid w:val="00455C7C"/>
    <w:rsid w:val="00455FA0"/>
    <w:rsid w:val="0046373C"/>
    <w:rsid w:val="00474266"/>
    <w:rsid w:val="00475AD9"/>
    <w:rsid w:val="00487CE3"/>
    <w:rsid w:val="004A0BF4"/>
    <w:rsid w:val="004A7ED9"/>
    <w:rsid w:val="004B2CDF"/>
    <w:rsid w:val="004B3336"/>
    <w:rsid w:val="004B3D95"/>
    <w:rsid w:val="004B4679"/>
    <w:rsid w:val="004B51BA"/>
    <w:rsid w:val="004C4EFA"/>
    <w:rsid w:val="004C5E8B"/>
    <w:rsid w:val="004D028B"/>
    <w:rsid w:val="004D17A0"/>
    <w:rsid w:val="004D2CAE"/>
    <w:rsid w:val="004D5908"/>
    <w:rsid w:val="004D6B1B"/>
    <w:rsid w:val="004F0011"/>
    <w:rsid w:val="004F02D9"/>
    <w:rsid w:val="00512D5D"/>
    <w:rsid w:val="0051435D"/>
    <w:rsid w:val="0051759A"/>
    <w:rsid w:val="00521157"/>
    <w:rsid w:val="00521B21"/>
    <w:rsid w:val="005243F0"/>
    <w:rsid w:val="00526DBB"/>
    <w:rsid w:val="00535226"/>
    <w:rsid w:val="00536788"/>
    <w:rsid w:val="00547FE0"/>
    <w:rsid w:val="00550416"/>
    <w:rsid w:val="00555C95"/>
    <w:rsid w:val="00561B77"/>
    <w:rsid w:val="00562591"/>
    <w:rsid w:val="00566823"/>
    <w:rsid w:val="00566AA1"/>
    <w:rsid w:val="00575D66"/>
    <w:rsid w:val="00576B2A"/>
    <w:rsid w:val="00576D63"/>
    <w:rsid w:val="0058242A"/>
    <w:rsid w:val="00584C02"/>
    <w:rsid w:val="00584C1F"/>
    <w:rsid w:val="005852A1"/>
    <w:rsid w:val="00585B1A"/>
    <w:rsid w:val="00585D64"/>
    <w:rsid w:val="0059034F"/>
    <w:rsid w:val="005A0D28"/>
    <w:rsid w:val="005A1A07"/>
    <w:rsid w:val="005A2113"/>
    <w:rsid w:val="005C273B"/>
    <w:rsid w:val="005C4F7D"/>
    <w:rsid w:val="005C6015"/>
    <w:rsid w:val="005C78F4"/>
    <w:rsid w:val="005D081B"/>
    <w:rsid w:val="005D232B"/>
    <w:rsid w:val="005E3A83"/>
    <w:rsid w:val="005E72D0"/>
    <w:rsid w:val="005F5BEF"/>
    <w:rsid w:val="00603030"/>
    <w:rsid w:val="00603FE3"/>
    <w:rsid w:val="006175F6"/>
    <w:rsid w:val="006209E1"/>
    <w:rsid w:val="00621E12"/>
    <w:rsid w:val="00626FDD"/>
    <w:rsid w:val="006408B3"/>
    <w:rsid w:val="006520BB"/>
    <w:rsid w:val="0065270B"/>
    <w:rsid w:val="00657BEA"/>
    <w:rsid w:val="00661F7C"/>
    <w:rsid w:val="006634F7"/>
    <w:rsid w:val="0066358F"/>
    <w:rsid w:val="00684583"/>
    <w:rsid w:val="0069108A"/>
    <w:rsid w:val="006A074F"/>
    <w:rsid w:val="006B03F9"/>
    <w:rsid w:val="006C26A5"/>
    <w:rsid w:val="006C419B"/>
    <w:rsid w:val="006C6DBA"/>
    <w:rsid w:val="006D1D85"/>
    <w:rsid w:val="006E0DD7"/>
    <w:rsid w:val="006F1AFB"/>
    <w:rsid w:val="006F27B4"/>
    <w:rsid w:val="006F5868"/>
    <w:rsid w:val="006F7934"/>
    <w:rsid w:val="00706D90"/>
    <w:rsid w:val="00713E0B"/>
    <w:rsid w:val="00716BFB"/>
    <w:rsid w:val="0074025B"/>
    <w:rsid w:val="00741831"/>
    <w:rsid w:val="00743E44"/>
    <w:rsid w:val="007452DD"/>
    <w:rsid w:val="0074693A"/>
    <w:rsid w:val="0074696A"/>
    <w:rsid w:val="007546A6"/>
    <w:rsid w:val="00754702"/>
    <w:rsid w:val="00755998"/>
    <w:rsid w:val="00755A3F"/>
    <w:rsid w:val="00761580"/>
    <w:rsid w:val="007674E3"/>
    <w:rsid w:val="00767578"/>
    <w:rsid w:val="00767918"/>
    <w:rsid w:val="0077484C"/>
    <w:rsid w:val="00790344"/>
    <w:rsid w:val="00796C37"/>
    <w:rsid w:val="007A1CCF"/>
    <w:rsid w:val="007A521C"/>
    <w:rsid w:val="007A52E5"/>
    <w:rsid w:val="007A5FC5"/>
    <w:rsid w:val="007B6DFB"/>
    <w:rsid w:val="007C32CE"/>
    <w:rsid w:val="007C5A90"/>
    <w:rsid w:val="007D1DC4"/>
    <w:rsid w:val="007D4151"/>
    <w:rsid w:val="007F3ECC"/>
    <w:rsid w:val="0080080E"/>
    <w:rsid w:val="0080593F"/>
    <w:rsid w:val="00814E8D"/>
    <w:rsid w:val="00820D78"/>
    <w:rsid w:val="008225EC"/>
    <w:rsid w:val="008238A7"/>
    <w:rsid w:val="008277FB"/>
    <w:rsid w:val="00831669"/>
    <w:rsid w:val="00831F77"/>
    <w:rsid w:val="00834BD4"/>
    <w:rsid w:val="008359C3"/>
    <w:rsid w:val="0084106A"/>
    <w:rsid w:val="00841616"/>
    <w:rsid w:val="00847E7E"/>
    <w:rsid w:val="0085461C"/>
    <w:rsid w:val="0085539D"/>
    <w:rsid w:val="0085586D"/>
    <w:rsid w:val="00862008"/>
    <w:rsid w:val="00863269"/>
    <w:rsid w:val="008640B0"/>
    <w:rsid w:val="008770E1"/>
    <w:rsid w:val="00877C1A"/>
    <w:rsid w:val="00882963"/>
    <w:rsid w:val="00885917"/>
    <w:rsid w:val="00892D1E"/>
    <w:rsid w:val="00893E93"/>
    <w:rsid w:val="00897C35"/>
    <w:rsid w:val="00897C70"/>
    <w:rsid w:val="008A11E8"/>
    <w:rsid w:val="008A1FD2"/>
    <w:rsid w:val="008A502F"/>
    <w:rsid w:val="008A56A7"/>
    <w:rsid w:val="008A6184"/>
    <w:rsid w:val="008A6664"/>
    <w:rsid w:val="008B029F"/>
    <w:rsid w:val="008B279D"/>
    <w:rsid w:val="008B4806"/>
    <w:rsid w:val="008B615E"/>
    <w:rsid w:val="008B6278"/>
    <w:rsid w:val="008C17D6"/>
    <w:rsid w:val="008C19D2"/>
    <w:rsid w:val="008C1B81"/>
    <w:rsid w:val="008C30BB"/>
    <w:rsid w:val="008D2CE0"/>
    <w:rsid w:val="008D2EC4"/>
    <w:rsid w:val="008D3191"/>
    <w:rsid w:val="008D566C"/>
    <w:rsid w:val="008E2A45"/>
    <w:rsid w:val="008E3DE3"/>
    <w:rsid w:val="008E5F6C"/>
    <w:rsid w:val="008E6917"/>
    <w:rsid w:val="008F2B96"/>
    <w:rsid w:val="008F3A33"/>
    <w:rsid w:val="00900F3E"/>
    <w:rsid w:val="00903C02"/>
    <w:rsid w:val="00910C15"/>
    <w:rsid w:val="009137A0"/>
    <w:rsid w:val="009253A0"/>
    <w:rsid w:val="00930D1B"/>
    <w:rsid w:val="00933E25"/>
    <w:rsid w:val="00935A8B"/>
    <w:rsid w:val="00937588"/>
    <w:rsid w:val="00941684"/>
    <w:rsid w:val="00945030"/>
    <w:rsid w:val="00951FCC"/>
    <w:rsid w:val="009546F6"/>
    <w:rsid w:val="00954EF3"/>
    <w:rsid w:val="0096185D"/>
    <w:rsid w:val="00964A61"/>
    <w:rsid w:val="00970A5B"/>
    <w:rsid w:val="009714A8"/>
    <w:rsid w:val="00973BAD"/>
    <w:rsid w:val="009751C0"/>
    <w:rsid w:val="00977815"/>
    <w:rsid w:val="00984025"/>
    <w:rsid w:val="009924A9"/>
    <w:rsid w:val="009A46BC"/>
    <w:rsid w:val="009A631D"/>
    <w:rsid w:val="009B0B87"/>
    <w:rsid w:val="009B39BB"/>
    <w:rsid w:val="009B3C92"/>
    <w:rsid w:val="009B50FC"/>
    <w:rsid w:val="009B5DFC"/>
    <w:rsid w:val="009B5F9D"/>
    <w:rsid w:val="009C08C0"/>
    <w:rsid w:val="009C2F2F"/>
    <w:rsid w:val="009C3130"/>
    <w:rsid w:val="009C3718"/>
    <w:rsid w:val="009C7DCA"/>
    <w:rsid w:val="009D0C23"/>
    <w:rsid w:val="009D32A9"/>
    <w:rsid w:val="009D5D23"/>
    <w:rsid w:val="009D7EF5"/>
    <w:rsid w:val="009E1078"/>
    <w:rsid w:val="009E31D5"/>
    <w:rsid w:val="009E34FD"/>
    <w:rsid w:val="009E6F37"/>
    <w:rsid w:val="009F18E2"/>
    <w:rsid w:val="009F1DF3"/>
    <w:rsid w:val="00A00421"/>
    <w:rsid w:val="00A10F1C"/>
    <w:rsid w:val="00A23EFC"/>
    <w:rsid w:val="00A23FE0"/>
    <w:rsid w:val="00A30EAB"/>
    <w:rsid w:val="00A31D73"/>
    <w:rsid w:val="00A418AB"/>
    <w:rsid w:val="00A619DF"/>
    <w:rsid w:val="00A6678F"/>
    <w:rsid w:val="00A72B2E"/>
    <w:rsid w:val="00A75C6B"/>
    <w:rsid w:val="00A75E7C"/>
    <w:rsid w:val="00A857EF"/>
    <w:rsid w:val="00A95EBB"/>
    <w:rsid w:val="00AA66D3"/>
    <w:rsid w:val="00AB458F"/>
    <w:rsid w:val="00AB4EC6"/>
    <w:rsid w:val="00AB79AB"/>
    <w:rsid w:val="00AC3EB9"/>
    <w:rsid w:val="00AD0DCF"/>
    <w:rsid w:val="00AD4DBB"/>
    <w:rsid w:val="00AD6C6B"/>
    <w:rsid w:val="00AF6F83"/>
    <w:rsid w:val="00B0241B"/>
    <w:rsid w:val="00B1664E"/>
    <w:rsid w:val="00B16ABB"/>
    <w:rsid w:val="00B17C87"/>
    <w:rsid w:val="00B216E2"/>
    <w:rsid w:val="00B255D7"/>
    <w:rsid w:val="00B41A76"/>
    <w:rsid w:val="00B42719"/>
    <w:rsid w:val="00B47F9E"/>
    <w:rsid w:val="00B605F9"/>
    <w:rsid w:val="00B63151"/>
    <w:rsid w:val="00B64AC7"/>
    <w:rsid w:val="00B71F33"/>
    <w:rsid w:val="00B8109E"/>
    <w:rsid w:val="00B81F78"/>
    <w:rsid w:val="00B83941"/>
    <w:rsid w:val="00B84733"/>
    <w:rsid w:val="00B86C3B"/>
    <w:rsid w:val="00B86FF3"/>
    <w:rsid w:val="00B92DF8"/>
    <w:rsid w:val="00B95C7E"/>
    <w:rsid w:val="00BB250C"/>
    <w:rsid w:val="00BB7FDB"/>
    <w:rsid w:val="00BC40AF"/>
    <w:rsid w:val="00BD7146"/>
    <w:rsid w:val="00BE1469"/>
    <w:rsid w:val="00BE3062"/>
    <w:rsid w:val="00BE4926"/>
    <w:rsid w:val="00BF14E2"/>
    <w:rsid w:val="00BF4E69"/>
    <w:rsid w:val="00BF5702"/>
    <w:rsid w:val="00C00785"/>
    <w:rsid w:val="00C00944"/>
    <w:rsid w:val="00C01965"/>
    <w:rsid w:val="00C01B8C"/>
    <w:rsid w:val="00C031B5"/>
    <w:rsid w:val="00C13201"/>
    <w:rsid w:val="00C153B2"/>
    <w:rsid w:val="00C25A62"/>
    <w:rsid w:val="00C32593"/>
    <w:rsid w:val="00C354AC"/>
    <w:rsid w:val="00C375EB"/>
    <w:rsid w:val="00C439C7"/>
    <w:rsid w:val="00C510A8"/>
    <w:rsid w:val="00C52092"/>
    <w:rsid w:val="00C60141"/>
    <w:rsid w:val="00C65E96"/>
    <w:rsid w:val="00C71499"/>
    <w:rsid w:val="00C71974"/>
    <w:rsid w:val="00C83FD1"/>
    <w:rsid w:val="00C85B27"/>
    <w:rsid w:val="00C90921"/>
    <w:rsid w:val="00C979CD"/>
    <w:rsid w:val="00C97D56"/>
    <w:rsid w:val="00CA38D8"/>
    <w:rsid w:val="00CA5239"/>
    <w:rsid w:val="00CB5930"/>
    <w:rsid w:val="00CB60F8"/>
    <w:rsid w:val="00CC3E94"/>
    <w:rsid w:val="00CC5030"/>
    <w:rsid w:val="00CD1397"/>
    <w:rsid w:val="00CD1862"/>
    <w:rsid w:val="00CD2A3D"/>
    <w:rsid w:val="00CE4384"/>
    <w:rsid w:val="00CE5F07"/>
    <w:rsid w:val="00CE7563"/>
    <w:rsid w:val="00CE7E46"/>
    <w:rsid w:val="00CF208F"/>
    <w:rsid w:val="00CF3A07"/>
    <w:rsid w:val="00CF4246"/>
    <w:rsid w:val="00D154E6"/>
    <w:rsid w:val="00D1587F"/>
    <w:rsid w:val="00D16E6E"/>
    <w:rsid w:val="00D17F98"/>
    <w:rsid w:val="00D33782"/>
    <w:rsid w:val="00D40A78"/>
    <w:rsid w:val="00D42D34"/>
    <w:rsid w:val="00D445F4"/>
    <w:rsid w:val="00D446CE"/>
    <w:rsid w:val="00D53D39"/>
    <w:rsid w:val="00D65821"/>
    <w:rsid w:val="00D71DBD"/>
    <w:rsid w:val="00D73B18"/>
    <w:rsid w:val="00D7511C"/>
    <w:rsid w:val="00D76D9E"/>
    <w:rsid w:val="00D85B6C"/>
    <w:rsid w:val="00D91370"/>
    <w:rsid w:val="00DA049C"/>
    <w:rsid w:val="00DA507F"/>
    <w:rsid w:val="00DC3BC9"/>
    <w:rsid w:val="00DC6A6C"/>
    <w:rsid w:val="00DC6CEB"/>
    <w:rsid w:val="00DC6D19"/>
    <w:rsid w:val="00DE0FB8"/>
    <w:rsid w:val="00DF0416"/>
    <w:rsid w:val="00DF0AD0"/>
    <w:rsid w:val="00DF5148"/>
    <w:rsid w:val="00DF5476"/>
    <w:rsid w:val="00E03104"/>
    <w:rsid w:val="00E17EF9"/>
    <w:rsid w:val="00E368C1"/>
    <w:rsid w:val="00E36A0F"/>
    <w:rsid w:val="00E37DF1"/>
    <w:rsid w:val="00E43521"/>
    <w:rsid w:val="00E543D4"/>
    <w:rsid w:val="00E562AD"/>
    <w:rsid w:val="00E56F35"/>
    <w:rsid w:val="00E620CD"/>
    <w:rsid w:val="00E630F8"/>
    <w:rsid w:val="00E63727"/>
    <w:rsid w:val="00E67ACD"/>
    <w:rsid w:val="00E747E0"/>
    <w:rsid w:val="00E80BC7"/>
    <w:rsid w:val="00E83482"/>
    <w:rsid w:val="00E860C0"/>
    <w:rsid w:val="00E970EC"/>
    <w:rsid w:val="00EA1048"/>
    <w:rsid w:val="00EB4C5C"/>
    <w:rsid w:val="00EB5215"/>
    <w:rsid w:val="00EB75BB"/>
    <w:rsid w:val="00EC189F"/>
    <w:rsid w:val="00ED0E10"/>
    <w:rsid w:val="00EE1200"/>
    <w:rsid w:val="00EE27E0"/>
    <w:rsid w:val="00EE318B"/>
    <w:rsid w:val="00EF17E1"/>
    <w:rsid w:val="00F04DAD"/>
    <w:rsid w:val="00F10983"/>
    <w:rsid w:val="00F228D1"/>
    <w:rsid w:val="00F23BF6"/>
    <w:rsid w:val="00F36BF1"/>
    <w:rsid w:val="00F54840"/>
    <w:rsid w:val="00F56C5A"/>
    <w:rsid w:val="00F60BC2"/>
    <w:rsid w:val="00F611BF"/>
    <w:rsid w:val="00F63E9E"/>
    <w:rsid w:val="00F7007C"/>
    <w:rsid w:val="00F73293"/>
    <w:rsid w:val="00F732B9"/>
    <w:rsid w:val="00F73A0F"/>
    <w:rsid w:val="00F85AE2"/>
    <w:rsid w:val="00F90112"/>
    <w:rsid w:val="00F95C35"/>
    <w:rsid w:val="00FA31E4"/>
    <w:rsid w:val="00FA35C1"/>
    <w:rsid w:val="00FC05FC"/>
    <w:rsid w:val="00FD5311"/>
    <w:rsid w:val="00FE30D3"/>
    <w:rsid w:val="00FF0D99"/>
    <w:rsid w:val="1E4F04F6"/>
    <w:rsid w:val="5E7E3BA8"/>
    <w:rsid w:val="79B43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List Paragraph"/>
    <w:basedOn w:val="1"/>
    <w:qFormat/>
    <w:uiPriority w:val="34"/>
    <w:pPr>
      <w:ind w:firstLine="420" w:firstLineChars="200"/>
    </w:pPr>
  </w:style>
  <w:style w:type="paragraph" w:customStyle="1" w:styleId="10">
    <w:name w:val="Table Paragraph"/>
    <w:basedOn w:val="1"/>
    <w:qFormat/>
    <w:uiPriority w:val="1"/>
    <w:rPr>
      <w:rFonts w:ascii="Times New Roman" w:hAnsi="Times New Roman" w:eastAsia="宋体" w:cs="Times New Roman"/>
      <w:szCs w:val="20"/>
    </w:rPr>
  </w:style>
  <w:style w:type="table" w:customStyle="1" w:styleId="11">
    <w:name w:val="网格型1"/>
    <w:basedOn w:val="5"/>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网格型2"/>
    <w:basedOn w:val="5"/>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050">
                <a:latin typeface="+mn-lt"/>
                <a:ea typeface="宋体" panose="02010600030101010101" charset="-122"/>
              </a:rPr>
              <a:t>图</a:t>
            </a:r>
            <a:r>
              <a:rPr lang="en-US" altLang="zh-CN" sz="1050">
                <a:latin typeface="+mn-lt"/>
                <a:ea typeface="宋体" panose="02010600030101010101" charset="-122"/>
              </a:rPr>
              <a:t>1. </a:t>
            </a:r>
            <a:r>
              <a:rPr lang="zh-CN" altLang="en-US" sz="1050">
                <a:latin typeface="+mn-lt"/>
                <a:ea typeface="宋体" panose="02010600030101010101" charset="-122"/>
              </a:rPr>
              <a:t>违反公平竞争审查标准的政策措施占涉市场主体经济活动政策措施总数的比例</a:t>
            </a:r>
            <a:endParaRPr lang="zh-CN" altLang="en-US" sz="1050">
              <a:latin typeface="+mn-lt"/>
              <a:ea typeface="宋体" panose="02010600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2"/>
                <c:pt idx="0">
                  <c:v>违反公平竞争审查标准的政策措施</c:v>
                </c:pt>
                <c:pt idx="1">
                  <c:v>没有违反公平竞争审查标准的政策措施</c:v>
                </c:pt>
              </c:strCache>
            </c:strRef>
          </c:cat>
          <c:val>
            <c:numRef>
              <c:f>Sheet1!$B$2:$B$5</c:f>
              <c:numCache>
                <c:formatCode>0%</c:formatCode>
                <c:ptCount val="4"/>
                <c:pt idx="0">
                  <c:v>0.43</c:v>
                </c:pt>
                <c:pt idx="1">
                  <c:v>0.57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050">
                <a:latin typeface="+mn-lt"/>
              </a:rPr>
              <a:t>图</a:t>
            </a:r>
            <a:r>
              <a:rPr lang="en-US" altLang="zh-CN" sz="1050">
                <a:latin typeface="+mn-lt"/>
              </a:rPr>
              <a:t>2. </a:t>
            </a:r>
            <a:r>
              <a:rPr lang="zh-CN" altLang="en-US" sz="1050">
                <a:latin typeface="+mn-lt"/>
              </a:rPr>
              <a:t>违反公平竞争审查标准政策措施在单位间分布情况</a:t>
            </a:r>
            <a:endParaRPr lang="zh-CN" altLang="en-US" sz="1050">
              <a:latin typeface="+mn-lt"/>
            </a:endParaRPr>
          </a:p>
        </c:rich>
      </c:tx>
      <c:layout/>
      <c:overlay val="0"/>
      <c:spPr>
        <a:noFill/>
        <a:ln>
          <a:noFill/>
        </a:ln>
        <a:effectLst/>
      </c:spPr>
    </c:title>
    <c:autoTitleDeleted val="0"/>
    <c:plotArea>
      <c:layout/>
      <c:pieChart>
        <c:varyColors val="1"/>
        <c:ser>
          <c:idx val="0"/>
          <c:order val="0"/>
          <c:tx>
            <c:strRef>
              <c:f>Sheet1!$B$1</c:f>
              <c:strCache>
                <c:ptCount val="1"/>
                <c:pt idx="0">
                  <c:v>违反公平竞争审查政策措施分布情况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2"/>
                <c:pt idx="0">
                  <c:v>市直单位违反公平竞争审查标准政策措施总数</c:v>
                </c:pt>
                <c:pt idx="1">
                  <c:v>区级政府违反公平竞争审查标准政策措施总数</c:v>
                </c:pt>
              </c:strCache>
            </c:strRef>
          </c:cat>
          <c:val>
            <c:numRef>
              <c:f>Sheet1!$B$2:$B$5</c:f>
              <c:numCache>
                <c:formatCode>General</c:formatCode>
                <c:ptCount val="4"/>
                <c:pt idx="0">
                  <c:v>2</c:v>
                </c:pt>
                <c:pt idx="1">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61091403425282"/>
          <c:y val="0.844686380146754"/>
          <c:w val="0.48985668267508"/>
          <c:h val="0.072754280327962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050"/>
              <a:t>图</a:t>
            </a:r>
            <a:r>
              <a:rPr lang="en-US" altLang="zh-CN" sz="1050"/>
              <a:t>3. </a:t>
            </a:r>
            <a:r>
              <a:rPr lang="zh-CN" altLang="en-US" sz="1050"/>
              <a:t>违反公平竞争审查标准政策措施分布领域</a:t>
            </a:r>
            <a:endParaRPr lang="zh-CN" altLang="en-US" sz="105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产业发展</c:v>
                </c:pt>
                <c:pt idx="1">
                  <c:v>招商引资</c:v>
                </c:pt>
                <c:pt idx="2">
                  <c:v>科技创新</c:v>
                </c:pt>
                <c:pt idx="3">
                  <c:v>其他</c:v>
                </c:pt>
              </c:strCache>
            </c:strRef>
          </c:cat>
          <c:val>
            <c:numRef>
              <c:f>Sheet1!$B$2:$B$5</c:f>
              <c:numCache>
                <c:formatCode>General</c:formatCode>
                <c:ptCount val="4"/>
                <c:pt idx="0">
                  <c:v>19</c:v>
                </c:pt>
                <c:pt idx="1">
                  <c:v>4</c:v>
                </c:pt>
                <c:pt idx="2">
                  <c:v>6</c:v>
                </c:pt>
                <c:pt idx="3">
                  <c:v>2</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Sheet1!$A$2:$A$5</c:f>
              <c:strCache>
                <c:ptCount val="4"/>
                <c:pt idx="0">
                  <c:v>产业发展</c:v>
                </c:pt>
                <c:pt idx="1">
                  <c:v>招商引资</c:v>
                </c:pt>
                <c:pt idx="2">
                  <c:v>科技创新</c:v>
                </c:pt>
                <c:pt idx="3">
                  <c:v>其他</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产业发展</c:v>
                </c:pt>
                <c:pt idx="1">
                  <c:v>招商引资</c:v>
                </c:pt>
                <c:pt idx="2">
                  <c:v>科技创新</c:v>
                </c:pt>
                <c:pt idx="3">
                  <c:v>其他</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56134912"/>
        <c:axId val="56141152"/>
      </c:barChart>
      <c:catAx>
        <c:axId val="561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41152"/>
        <c:crosses val="autoZero"/>
        <c:auto val="1"/>
        <c:lblAlgn val="ctr"/>
        <c:lblOffset val="100"/>
        <c:noMultiLvlLbl val="0"/>
      </c:catAx>
      <c:valAx>
        <c:axId val="5614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3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3B43B-1254-4039-A45A-17E90CF7429F}">
  <ds:schemaRefs/>
</ds:datastoreItem>
</file>

<file path=docProps/app.xml><?xml version="1.0" encoding="utf-8"?>
<Properties xmlns="http://schemas.openxmlformats.org/officeDocument/2006/extended-properties" xmlns:vt="http://schemas.openxmlformats.org/officeDocument/2006/docPropsVTypes">
  <Template>Normal</Template>
  <Pages>29</Pages>
  <Words>10446</Words>
  <Characters>10551</Characters>
  <Lines>1318</Lines>
  <Paragraphs>656</Paragraphs>
  <ScaleCrop>false</ScaleCrop>
  <LinksUpToDate>false</LinksUpToDate>
  <CharactersWithSpaces>20341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2022-02-12T01:59:00Z</dcterms:created>
  <dc:creator>刘 先生</dc:creator>
  <cp:lastModifiedBy>Administrator</cp:lastModifiedBy>
  <dcterms:modified xsi:type="dcterms:W3CDTF">2022-04-06T07:22:33Z</dcterms:modified>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