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67E981">
      <w:pPr>
        <w:keepNext w:val="0"/>
        <w:keepLines w:val="0"/>
        <w:widowControl/>
        <w:suppressLineNumbers w:val="0"/>
        <w:snapToGrid w:val="0"/>
        <w:spacing w:before="0" w:beforeAutospacing="1" w:after="0" w:afterAutospacing="1" w:line="600" w:lineRule="atLeast"/>
        <w:ind w:left="0" w:right="24"/>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附件1 </w:t>
      </w:r>
    </w:p>
    <w:p w14:paraId="4ECBDA62">
      <w:pPr>
        <w:keepNext w:val="0"/>
        <w:keepLines w:val="0"/>
        <w:widowControl/>
        <w:suppressLineNumbers w:val="0"/>
        <w:snapToGrid w:val="0"/>
        <w:spacing w:before="0" w:beforeAutospacing="1" w:after="0" w:afterAutospacing="1" w:line="600" w:lineRule="atLeast"/>
        <w:ind w:left="0" w:right="24"/>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w:t>
      </w:r>
    </w:p>
    <w:p w14:paraId="7C655B9A">
      <w:pPr>
        <w:keepNext w:val="0"/>
        <w:keepLines w:val="0"/>
        <w:widowControl/>
        <w:suppressLineNumbers w:val="0"/>
        <w:snapToGrid w:val="0"/>
        <w:spacing w:before="0" w:beforeAutospacing="1" w:after="0" w:afterAutospacing="1" w:line="600" w:lineRule="atLeast"/>
        <w:ind w:left="0" w:right="24"/>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w:t>
      </w:r>
    </w:p>
    <w:p w14:paraId="5B395D26">
      <w:pPr>
        <w:keepNext w:val="0"/>
        <w:keepLines w:val="0"/>
        <w:widowControl/>
        <w:suppressLineNumbers w:val="0"/>
        <w:snapToGrid w:val="0"/>
        <w:spacing w:before="0" w:beforeAutospacing="1" w:after="0" w:afterAutospacing="1" w:line="600" w:lineRule="atLeast"/>
        <w:ind w:left="0" w:right="24"/>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699F0BD">
      <w:pPr>
        <w:keepNext w:val="0"/>
        <w:keepLines w:val="0"/>
        <w:widowControl/>
        <w:suppressLineNumbers w:val="0"/>
        <w:snapToGrid w:val="0"/>
        <w:spacing w:before="0" w:beforeAutospacing="1" w:after="0" w:afterAutospacing="1" w:line="560" w:lineRule="atLeast"/>
        <w:ind w:left="0" w:right="0"/>
        <w:jc w:val="center"/>
        <w:rPr>
          <w:rFonts w:hint="eastAsia" w:ascii="宋体" w:hAnsi="宋体" w:eastAsia="宋体" w:cs="宋体"/>
          <w:kern w:val="0"/>
          <w:sz w:val="24"/>
          <w:szCs w:val="24"/>
        </w:rPr>
      </w:pPr>
      <w:bookmarkStart w:id="0" w:name="_GoBack"/>
      <w:r>
        <w:rPr>
          <w:rFonts w:hint="default" w:ascii="黑体" w:hAnsi="宋体" w:eastAsia="黑体" w:cs="黑体"/>
          <w:color w:val="000000"/>
          <w:kern w:val="0"/>
          <w:sz w:val="48"/>
          <w:szCs w:val="48"/>
        </w:rPr>
        <w:t>2019年度武汉市黄陂区祁家湾街道办事处（汇总）部门决算</w:t>
      </w:r>
    </w:p>
    <w:bookmarkEnd w:id="0"/>
    <w:p w14:paraId="3F59D7E5">
      <w:pPr>
        <w:keepNext w:val="0"/>
        <w:keepLines w:val="0"/>
        <w:widowControl/>
        <w:suppressLineNumbers w:val="0"/>
        <w:snapToGrid w:val="0"/>
        <w:spacing w:before="0" w:beforeAutospacing="1" w:after="0" w:afterAutospacing="1" w:line="560" w:lineRule="atLeast"/>
        <w:ind w:left="0" w:right="0"/>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p>
    <w:p w14:paraId="49938536">
      <w:pPr>
        <w:keepNext w:val="0"/>
        <w:keepLines w:val="0"/>
        <w:widowControl/>
        <w:suppressLineNumbers w:val="0"/>
        <w:snapToGrid w:val="0"/>
        <w:spacing w:before="0" w:beforeAutospacing="1" w:after="0" w:afterAutospacing="1" w:line="560" w:lineRule="atLeast"/>
        <w:ind w:left="0" w:right="0"/>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p>
    <w:p w14:paraId="5687D434">
      <w:pPr>
        <w:keepNext w:val="0"/>
        <w:keepLines w:val="0"/>
        <w:widowControl/>
        <w:suppressLineNumbers w:val="0"/>
        <w:snapToGrid w:val="0"/>
        <w:spacing w:before="0" w:beforeAutospacing="1" w:after="0" w:afterAutospacing="1" w:line="560" w:lineRule="atLeast"/>
        <w:ind w:left="0" w:right="0"/>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p>
    <w:p w14:paraId="724AA1B7">
      <w:pPr>
        <w:keepNext w:val="0"/>
        <w:keepLines w:val="0"/>
        <w:widowControl/>
        <w:suppressLineNumbers w:val="0"/>
        <w:snapToGrid w:val="0"/>
        <w:spacing w:before="0" w:beforeAutospacing="1" w:after="0" w:afterAutospacing="1" w:line="560" w:lineRule="atLeast"/>
        <w:ind w:left="0" w:right="0"/>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p>
    <w:p w14:paraId="361DE36E">
      <w:pPr>
        <w:keepNext w:val="0"/>
        <w:keepLines w:val="0"/>
        <w:widowControl/>
        <w:suppressLineNumbers w:val="0"/>
        <w:snapToGrid w:val="0"/>
        <w:spacing w:before="0" w:beforeAutospacing="1" w:after="0" w:afterAutospacing="1" w:line="560" w:lineRule="atLeast"/>
        <w:ind w:left="0" w:right="0"/>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p>
    <w:p w14:paraId="066330CE">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6B5E96E">
      <w:pPr>
        <w:keepNext w:val="0"/>
        <w:keepLines w:val="0"/>
        <w:widowControl/>
        <w:suppressLineNumbers w:val="0"/>
        <w:snapToGrid w:val="0"/>
        <w:spacing w:before="0" w:beforeAutospacing="1" w:after="0" w:afterAutospacing="1" w:line="560" w:lineRule="atLeast"/>
        <w:ind w:left="0" w:right="0"/>
        <w:jc w:val="center"/>
        <w:rPr>
          <w:rFonts w:hint="eastAsia" w:ascii="宋体" w:hAnsi="宋体" w:eastAsia="宋体" w:cs="宋体"/>
          <w:kern w:val="0"/>
          <w:sz w:val="24"/>
          <w:szCs w:val="24"/>
        </w:rPr>
      </w:pPr>
      <w:r>
        <w:rPr>
          <w:rFonts w:hint="eastAsia" w:ascii="仿宋_GB2312" w:hAnsi="宋体" w:eastAsia="仿宋_GB2312" w:cs="仿宋_GB2312"/>
          <w:color w:val="000000"/>
          <w:kern w:val="0"/>
          <w:sz w:val="32"/>
          <w:szCs w:val="32"/>
        </w:rPr>
        <w:t>2020年9月29日</w:t>
      </w:r>
    </w:p>
    <w:p w14:paraId="3B02BB7A">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58479CB">
      <w:pPr>
        <w:keepNext w:val="0"/>
        <w:keepLines w:val="0"/>
        <w:widowControl/>
        <w:suppressLineNumbers w:val="0"/>
        <w:snapToGrid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ABE3363">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D0C2898">
      <w:pPr>
        <w:pStyle w:val="2"/>
        <w:keepNext w:val="0"/>
        <w:keepLines w:val="0"/>
        <w:widowControl/>
        <w:suppressLineNumbers w:val="0"/>
        <w:jc w:val="center"/>
        <w:rPr>
          <w:rFonts w:hint="default" w:ascii="黑体" w:hAnsi="宋体" w:eastAsia="黑体" w:cs="黑体"/>
          <w:b w:val="0"/>
          <w:bCs w:val="0"/>
          <w:kern w:val="44"/>
          <w:sz w:val="48"/>
          <w:szCs w:val="48"/>
        </w:rPr>
      </w:pPr>
      <w:r>
        <w:rPr>
          <w:rFonts w:hint="default" w:ascii="黑体" w:hAnsi="宋体" w:eastAsia="黑体" w:cs="黑体"/>
          <w:b w:val="0"/>
          <w:bCs w:val="0"/>
          <w:kern w:val="44"/>
          <w:sz w:val="48"/>
          <w:szCs w:val="48"/>
        </w:rPr>
        <w:t xml:space="preserve"> </w:t>
      </w:r>
    </w:p>
    <w:p w14:paraId="1A465106">
      <w:pPr>
        <w:pStyle w:val="2"/>
        <w:keepNext w:val="0"/>
        <w:keepLines w:val="0"/>
        <w:widowControl/>
        <w:suppressLineNumbers w:val="0"/>
        <w:jc w:val="center"/>
        <w:rPr>
          <w:rFonts w:hint="eastAsia" w:ascii="宋体" w:hAnsi="宋体" w:eastAsia="宋体" w:cs="宋体"/>
          <w:b/>
          <w:bCs/>
          <w:kern w:val="44"/>
          <w:sz w:val="48"/>
          <w:szCs w:val="48"/>
        </w:rPr>
      </w:pPr>
      <w:r>
        <w:rPr>
          <w:rFonts w:hint="default" w:ascii="黑体" w:hAnsi="宋体" w:eastAsia="黑体" w:cs="黑体"/>
          <w:b w:val="0"/>
          <w:bCs w:val="0"/>
          <w:kern w:val="44"/>
          <w:sz w:val="48"/>
          <w:szCs w:val="48"/>
        </w:rPr>
        <w:t>目    录</w:t>
      </w:r>
    </w:p>
    <w:p w14:paraId="0B82EC77">
      <w:pPr>
        <w:keepNext w:val="0"/>
        <w:keepLines w:val="0"/>
        <w:widowControl/>
        <w:suppressLineNumbers w:val="0"/>
        <w:autoSpaceDE w:val="0"/>
        <w:autoSpaceDN/>
        <w:snapToGrid w:val="0"/>
        <w:spacing w:before="0" w:beforeAutospacing="1" w:after="0" w:afterAutospacing="1" w:line="360" w:lineRule="auto"/>
        <w:ind w:left="0" w:right="0" w:firstLine="641"/>
        <w:rPr>
          <w:rFonts w:hint="default" w:ascii="黑体" w:hAnsi="宋体" w:eastAsia="黑体" w:cs="黑体"/>
          <w:kern w:val="0"/>
          <w:sz w:val="32"/>
          <w:szCs w:val="32"/>
        </w:rPr>
      </w:pPr>
      <w:r>
        <w:rPr>
          <w:rFonts w:hint="default" w:ascii="黑体" w:hAnsi="宋体" w:eastAsia="黑体" w:cs="黑体"/>
          <w:kern w:val="0"/>
          <w:sz w:val="32"/>
          <w:szCs w:val="32"/>
        </w:rPr>
        <w:t>第一部分  武汉市黄陂区祁家湾街道办事处（汇总）概况</w:t>
      </w:r>
    </w:p>
    <w:p w14:paraId="0FF9C798">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color w:val="000000"/>
          <w:kern w:val="0"/>
          <w:sz w:val="32"/>
          <w:szCs w:val="32"/>
        </w:rPr>
        <w:t>一、部门主要职能</w:t>
      </w:r>
    </w:p>
    <w:p w14:paraId="1CCFABDC">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color w:val="000000"/>
          <w:kern w:val="0"/>
          <w:sz w:val="32"/>
          <w:szCs w:val="32"/>
        </w:rPr>
        <w:t>二、部门决算单位构成</w:t>
      </w:r>
    </w:p>
    <w:p w14:paraId="5568A818">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color w:val="000000"/>
          <w:kern w:val="0"/>
          <w:sz w:val="32"/>
          <w:szCs w:val="32"/>
        </w:rPr>
        <w:t>三、部门人员构成</w:t>
      </w:r>
    </w:p>
    <w:p w14:paraId="53F7C1BE">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default" w:ascii="黑体" w:hAnsi="宋体" w:eastAsia="黑体" w:cs="黑体"/>
          <w:kern w:val="0"/>
          <w:sz w:val="32"/>
          <w:szCs w:val="32"/>
        </w:rPr>
        <w:t>第二部分  武汉市黄陂区祁家湾街道办事处（汇总）2019年度部门决算表</w:t>
      </w:r>
    </w:p>
    <w:p w14:paraId="02E493B9">
      <w:pPr>
        <w:keepNext w:val="0"/>
        <w:keepLines w:val="0"/>
        <w:widowControl/>
        <w:suppressLineNumbers w:val="0"/>
        <w:autoSpaceDE w:val="0"/>
        <w:autoSpaceDN/>
        <w:snapToGrid w:val="0"/>
        <w:spacing w:before="0" w:beforeAutospacing="1" w:after="0" w:afterAutospacing="1" w:line="360" w:lineRule="auto"/>
        <w:ind w:left="0" w:right="-512" w:firstLine="641"/>
        <w:rPr>
          <w:rFonts w:hint="eastAsia" w:ascii="宋体" w:hAnsi="宋体" w:eastAsia="宋体" w:cs="宋体"/>
          <w:kern w:val="0"/>
          <w:sz w:val="32"/>
          <w:szCs w:val="32"/>
        </w:rPr>
      </w:pPr>
      <w:r>
        <w:rPr>
          <w:rFonts w:hint="eastAsia" w:ascii="宋体" w:hAnsi="宋体" w:eastAsia="宋体" w:cs="宋体"/>
          <w:kern w:val="0"/>
          <w:sz w:val="32"/>
          <w:szCs w:val="32"/>
        </w:rPr>
        <w:t>一、收入支出决算总表(表1)</w:t>
      </w:r>
    </w:p>
    <w:p w14:paraId="180DF8E2">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二、收入决算表(表2)</w:t>
      </w:r>
    </w:p>
    <w:p w14:paraId="097A2625">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三、支出决算表(表3)</w:t>
      </w:r>
    </w:p>
    <w:p w14:paraId="70845343">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四、财政拨款收入支出决算总表(表4)</w:t>
      </w:r>
    </w:p>
    <w:p w14:paraId="75D4938A">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五、一般公共预算财政拨款支出决算表(表5)</w:t>
      </w:r>
    </w:p>
    <w:p w14:paraId="19C9C7F2">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六、一般公共预算财政拨款基本支出决算表(表6)</w:t>
      </w:r>
    </w:p>
    <w:p w14:paraId="50EB1F3C">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七、一般公共预算财政拨款“三公”经费支出决算表(表7)</w:t>
      </w:r>
    </w:p>
    <w:p w14:paraId="2BAEF393">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八、政府性基金预算财政拨款收入支出决算表(表8)</w:t>
      </w:r>
    </w:p>
    <w:p w14:paraId="71832DF5">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default" w:ascii="黑体" w:hAnsi="宋体" w:eastAsia="黑体" w:cs="黑体"/>
          <w:kern w:val="0"/>
          <w:sz w:val="32"/>
          <w:szCs w:val="32"/>
        </w:rPr>
        <w:t>第三部分  武汉市黄陂区祁家湾街道办事处（汇总）2019年度部门决算情况说明</w:t>
      </w:r>
    </w:p>
    <w:p w14:paraId="785DCE6D">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 xml:space="preserve">一、收入支出决算总体情况说明 </w:t>
      </w:r>
    </w:p>
    <w:p w14:paraId="2C6D739F">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二、收入决算情况说明</w:t>
      </w:r>
    </w:p>
    <w:p w14:paraId="37103827">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三、支出决算情况说明</w:t>
      </w:r>
    </w:p>
    <w:p w14:paraId="3C837642">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四、财政拨款收入支出决算总体情况说明</w:t>
      </w:r>
    </w:p>
    <w:p w14:paraId="06CFFCF1">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五、一般公共预算财政拨款支出决算情况说明</w:t>
      </w:r>
    </w:p>
    <w:p w14:paraId="69E97F6C">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六、一般公共预算财政拨款基本支出决算情况说明</w:t>
      </w:r>
    </w:p>
    <w:p w14:paraId="18C9B849">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 xml:space="preserve">七、一般公共预算财政拨款“三公”经费支出决算情况说明 </w:t>
      </w:r>
    </w:p>
    <w:p w14:paraId="0F07FEFC">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八、政府性基金预算财政拨款收入支出决算情况说明</w:t>
      </w:r>
    </w:p>
    <w:p w14:paraId="7011C560">
      <w:pPr>
        <w:pStyle w:val="18"/>
        <w:keepNext w:val="0"/>
        <w:keepLines w:val="0"/>
        <w:widowControl/>
        <w:suppressLineNumbers w:val="0"/>
        <w:autoSpaceDE w:val="0"/>
        <w:autoSpaceDN/>
        <w:snapToGrid w:val="0"/>
        <w:spacing w:before="0" w:beforeAutospacing="1" w:after="0" w:afterAutospacing="1" w:line="360" w:lineRule="auto"/>
        <w:ind w:left="0" w:right="0" w:firstLine="641"/>
        <w:jc w:val="both"/>
        <w:rPr>
          <w:rFonts w:hint="eastAsia" w:ascii="宋体" w:hAnsi="宋体" w:eastAsia="宋体" w:cs="宋体"/>
          <w:kern w:val="0"/>
          <w:sz w:val="32"/>
          <w:szCs w:val="32"/>
        </w:rPr>
      </w:pPr>
      <w:r>
        <w:rPr>
          <w:rFonts w:hint="eastAsia" w:ascii="宋体" w:hAnsi="宋体" w:eastAsia="宋体" w:cs="宋体"/>
          <w:kern w:val="0"/>
          <w:sz w:val="32"/>
          <w:szCs w:val="32"/>
        </w:rPr>
        <w:t>九、预算绩效情况说明</w:t>
      </w:r>
    </w:p>
    <w:p w14:paraId="020B6E7E">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color w:val="000000"/>
          <w:kern w:val="0"/>
          <w:sz w:val="32"/>
          <w:szCs w:val="32"/>
        </w:rPr>
        <w:t>其他重要事项情况</w:t>
      </w:r>
      <w:r>
        <w:rPr>
          <w:rFonts w:hint="eastAsia" w:ascii="宋体" w:hAnsi="宋体" w:eastAsia="宋体" w:cs="宋体"/>
          <w:kern w:val="0"/>
          <w:sz w:val="32"/>
          <w:szCs w:val="32"/>
        </w:rPr>
        <w:t>说明</w:t>
      </w:r>
    </w:p>
    <w:p w14:paraId="280CDF74">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default" w:ascii="黑体" w:hAnsi="宋体" w:eastAsia="黑体" w:cs="黑体"/>
          <w:kern w:val="0"/>
          <w:sz w:val="32"/>
          <w:szCs w:val="32"/>
        </w:rPr>
        <w:t>第四部分  2019年重点工作完成情况</w:t>
      </w:r>
    </w:p>
    <w:p w14:paraId="652C0609">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default" w:ascii="黑体" w:hAnsi="宋体" w:eastAsia="黑体" w:cs="黑体"/>
          <w:kern w:val="0"/>
          <w:sz w:val="32"/>
          <w:szCs w:val="32"/>
        </w:rPr>
        <w:t>第五部分  名词解释</w:t>
      </w:r>
    </w:p>
    <w:p w14:paraId="0AB3F659">
      <w:pPr>
        <w:pStyle w:val="2"/>
        <w:keepNext w:val="0"/>
        <w:keepLines w:val="0"/>
        <w:widowControl/>
        <w:suppressLineNumbers w:val="0"/>
        <w:jc w:val="center"/>
        <w:rPr>
          <w:rFonts w:hint="eastAsia" w:ascii="宋体" w:hAnsi="宋体" w:eastAsia="宋体" w:cs="宋体"/>
          <w:b/>
          <w:bCs/>
          <w:kern w:val="44"/>
          <w:sz w:val="48"/>
          <w:szCs w:val="48"/>
        </w:rPr>
      </w:pPr>
      <w:r>
        <w:rPr>
          <w:rFonts w:hint="eastAsia" w:ascii="宋体" w:hAnsi="宋体" w:eastAsia="宋体" w:cs="宋体"/>
          <w:b/>
          <w:bCs/>
          <w:kern w:val="44"/>
          <w:sz w:val="48"/>
          <w:szCs w:val="48"/>
        </w:rPr>
        <w:t>第一部分  武汉市黄陂区祁家湾街道办事处（汇总）概况</w:t>
      </w:r>
    </w:p>
    <w:p w14:paraId="1112B5E9">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一、部门主要职能</w:t>
      </w:r>
    </w:p>
    <w:p w14:paraId="500A8554">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1、主要负责日常工作和社会治安综合治理、社会稳定、工青妇及各部门、各方面的综合协调工作，督促检查有关工作的落实。2、农业、工业、水利、林业与第三产业发展规划、招商引资、公有资产管理等工作，协调与经济发展相关的其他工作。3、组织协调各有关部门共同解决辖区内突出的治安问题;指导、检查、督促协助有关部门，指导治保会、调解会和各种形式的群防群治队伍的工作 。4、协调各有关部门共同解决辖区内突出治安问题；指导、检查、督促协助有关部门，指导治保会、调解会和各种形式的群防群治队伍的工作，维护社会稳定。5、主要负责党建工作部署、指导、督办、考核等相关工作。党员信息采集、整理和党员组织关系转接工作，党员干部的培训、检查、考核方案的拟定。负责召开党建例会，研究解决工作中的重难点问题。老干部信息采集、整理。 6、宣传党和政府的方针、政策，反映群众的呼声。负责规划部署全街社会主义精神文明建设工作。负责党报党刊的订阅和发行工作。</w:t>
      </w:r>
    </w:p>
    <w:p w14:paraId="0C8159E2">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二、部门决算单位构成</w:t>
      </w:r>
    </w:p>
    <w:p w14:paraId="73FFC1B3">
      <w:pPr>
        <w:keepNext w:val="0"/>
        <w:keepLines w:val="0"/>
        <w:widowControl/>
        <w:suppressLineNumbers w:val="0"/>
        <w:autoSpaceDE w:val="0"/>
        <w:autoSpaceDN/>
        <w:snapToGrid w:val="0"/>
        <w:spacing w:line="360" w:lineRule="auto"/>
        <w:ind w:left="0"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从决算单位构成来看，武汉市黄陂区祁家湾街道办事处部门决算由纳入独立核算的单位本级决算和1个下属单位决算组成。其中：行政单位1个、全额拨款事业单位1个。</w:t>
      </w:r>
    </w:p>
    <w:p w14:paraId="5A7FEF5E">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三、部门人员构成</w:t>
      </w:r>
    </w:p>
    <w:p w14:paraId="63F849B4">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武汉市黄陂区祁家湾街道办事处在职实有人数96人，其中：行政44人，事业52人。</w:t>
      </w:r>
    </w:p>
    <w:p w14:paraId="43A569AF">
      <w:pPr>
        <w:keepNext w:val="0"/>
        <w:keepLines w:val="0"/>
        <w:widowControl/>
        <w:suppressLineNumbers w:val="0"/>
        <w:autoSpaceDE w:val="0"/>
        <w:autoSpaceDN/>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离退休人员20人，其中：离休0人，退休20人。</w:t>
      </w:r>
    </w:p>
    <w:p w14:paraId="70829A1A">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A963AA8">
      <w:pPr>
        <w:pStyle w:val="2"/>
        <w:keepNext w:val="0"/>
        <w:keepLines w:val="0"/>
        <w:widowControl/>
        <w:numPr>
          <w:ilvl w:val="0"/>
          <w:numId w:val="1"/>
        </w:numPr>
        <w:suppressLineNumbers w:val="0"/>
        <w:ind w:left="0" w:firstLine="0"/>
        <w:jc w:val="center"/>
        <w:rPr>
          <w:rFonts w:hint="eastAsia" w:ascii="宋体" w:hAnsi="宋体" w:eastAsia="宋体" w:cs="宋体"/>
          <w:b/>
          <w:bCs/>
          <w:kern w:val="44"/>
          <w:sz w:val="48"/>
          <w:szCs w:val="48"/>
        </w:rPr>
      </w:pPr>
      <w:r>
        <w:rPr>
          <w:rFonts w:hint="eastAsia" w:ascii="宋体" w:hAnsi="宋体" w:eastAsia="宋体" w:cs="宋体"/>
          <w:b/>
          <w:bCs/>
          <w:kern w:val="44"/>
          <w:sz w:val="48"/>
          <w:szCs w:val="48"/>
        </w:rPr>
        <w:t xml:space="preserve"> 武汉市黄陂区祁家湾街道办事处（汇总）2019年度部门决算表</w:t>
      </w:r>
    </w:p>
    <w:p w14:paraId="6121A065">
      <w:pPr>
        <w:keepNext w:val="0"/>
        <w:keepLines w:val="0"/>
        <w:widowControl/>
        <w:suppressLineNumbers w:val="0"/>
        <w:rPr>
          <w:rFonts w:hint="eastAsia" w:ascii="宋体" w:hAnsi="宋体" w:eastAsia="宋体" w:cs="宋体"/>
          <w:kern w:val="0"/>
          <w:sz w:val="24"/>
          <w:szCs w:val="24"/>
        </w:rPr>
      </w:pPr>
      <w:r>
        <w:drawing>
          <wp:inline distT="0" distB="0" distL="114300" distR="114300">
            <wp:extent cx="5276850" cy="3943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link="rId5"/>
                    <a:stretch>
                      <a:fillRect/>
                    </a:stretch>
                  </pic:blipFill>
                  <pic:spPr>
                    <a:xfrm>
                      <a:off x="0" y="0"/>
                      <a:ext cx="5276850" cy="3943350"/>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2ACD2D77">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drawing>
          <wp:inline distT="0" distB="0" distL="114300" distR="114300">
            <wp:extent cx="5286375" cy="85820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link="rId6"/>
                    <a:stretch>
                      <a:fillRect/>
                    </a:stretch>
                  </pic:blipFill>
                  <pic:spPr>
                    <a:xfrm>
                      <a:off x="0" y="0"/>
                      <a:ext cx="5286375" cy="8582025"/>
                    </a:xfrm>
                    <a:prstGeom prst="rect">
                      <a:avLst/>
                    </a:prstGeom>
                    <a:noFill/>
                    <a:ln w="9525">
                      <a:noFill/>
                    </a:ln>
                  </pic:spPr>
                </pic:pic>
              </a:graphicData>
            </a:graphic>
          </wp:inline>
        </w:drawing>
      </w:r>
    </w:p>
    <w:p w14:paraId="50474B42">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76850" cy="95631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link="rId7"/>
                    <a:stretch>
                      <a:fillRect/>
                    </a:stretch>
                  </pic:blipFill>
                  <pic:spPr>
                    <a:xfrm>
                      <a:off x="0" y="0"/>
                      <a:ext cx="5276850" cy="9563100"/>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249B6524">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86375" cy="8067675"/>
            <wp:effectExtent l="0" t="0" r="9525"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link="rId8"/>
                    <a:stretch>
                      <a:fillRect/>
                    </a:stretch>
                  </pic:blipFill>
                  <pic:spPr>
                    <a:xfrm>
                      <a:off x="0" y="0"/>
                      <a:ext cx="5286375" cy="8067675"/>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5573652F">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76850" cy="1218247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link="rId9"/>
                    <a:stretch>
                      <a:fillRect/>
                    </a:stretch>
                  </pic:blipFill>
                  <pic:spPr>
                    <a:xfrm>
                      <a:off x="0" y="0"/>
                      <a:ext cx="5276850" cy="12182475"/>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364DCE57">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86375" cy="3467100"/>
            <wp:effectExtent l="0" t="0" r="9525"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link="rId10"/>
                    <a:stretch>
                      <a:fillRect/>
                    </a:stretch>
                  </pic:blipFill>
                  <pic:spPr>
                    <a:xfrm>
                      <a:off x="0" y="0"/>
                      <a:ext cx="5286375" cy="3467100"/>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01A0D4AE">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602554F">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76850" cy="15240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link="rId11"/>
                    <a:stretch>
                      <a:fillRect/>
                    </a:stretch>
                  </pic:blipFill>
                  <pic:spPr>
                    <a:xfrm>
                      <a:off x="0" y="0"/>
                      <a:ext cx="5276850" cy="1524000"/>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45E55355">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402A7EA">
      <w:pPr>
        <w:pStyle w:val="18"/>
        <w:keepNext w:val="0"/>
        <w:keepLines w:val="0"/>
        <w:widowControl/>
        <w:suppressLineNumbers w:val="0"/>
        <w:rPr>
          <w:rFonts w:hint="eastAsia" w:ascii="宋体" w:hAnsi="宋体" w:eastAsia="宋体" w:cs="宋体"/>
          <w:kern w:val="0"/>
          <w:sz w:val="24"/>
          <w:szCs w:val="24"/>
        </w:rPr>
      </w:pPr>
      <w:r>
        <w:drawing>
          <wp:inline distT="0" distB="0" distL="114300" distR="114300">
            <wp:extent cx="5276850" cy="209550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link="rId12"/>
                    <a:stretch>
                      <a:fillRect/>
                    </a:stretch>
                  </pic:blipFill>
                  <pic:spPr>
                    <a:xfrm>
                      <a:off x="0" y="0"/>
                      <a:ext cx="5276850" cy="2095500"/>
                    </a:xfrm>
                    <a:prstGeom prst="rect">
                      <a:avLst/>
                    </a:prstGeom>
                    <a:noFill/>
                    <a:ln w="9525">
                      <a:noFill/>
                    </a:ln>
                  </pic:spPr>
                </pic:pic>
              </a:graphicData>
            </a:graphic>
          </wp:inline>
        </w:drawing>
      </w:r>
      <w:r>
        <w:rPr>
          <w:rFonts w:hint="eastAsia" w:ascii="宋体" w:hAnsi="宋体" w:eastAsia="宋体" w:cs="宋体"/>
          <w:kern w:val="0"/>
          <w:sz w:val="24"/>
          <w:szCs w:val="24"/>
        </w:rPr>
        <w:t xml:space="preserve"> </w:t>
      </w:r>
    </w:p>
    <w:p w14:paraId="73B05A1F">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F847235">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b/>
          <w:bCs/>
          <w:kern w:val="0"/>
          <w:sz w:val="44"/>
          <w:szCs w:val="44"/>
        </w:rPr>
        <w:t>第三部分  武汉市黄陂区祁家湾街道办事处（汇总）2019年度</w:t>
      </w:r>
      <w:r>
        <w:rPr>
          <w:rFonts w:hint="eastAsia" w:ascii="宋体" w:hAnsi="宋体" w:eastAsia="宋体" w:cs="宋体"/>
          <w:kern w:val="0"/>
          <w:sz w:val="24"/>
          <w:szCs w:val="24"/>
        </w:rPr>
        <w:br w:type="textWrapping"/>
      </w:r>
      <w:r>
        <w:rPr>
          <w:rFonts w:hint="eastAsia" w:ascii="宋体" w:hAnsi="宋体" w:eastAsia="宋体" w:cs="宋体"/>
          <w:b/>
          <w:bCs/>
          <w:kern w:val="0"/>
          <w:sz w:val="44"/>
          <w:szCs w:val="44"/>
        </w:rPr>
        <w:t>部门决算情况说明</w:t>
      </w:r>
    </w:p>
    <w:p w14:paraId="42A61624">
      <w:pPr>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1989C84">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default" w:ascii="黑体" w:hAnsi="宋体" w:eastAsia="黑体" w:cs="黑体"/>
          <w:kern w:val="0"/>
          <w:sz w:val="32"/>
          <w:szCs w:val="32"/>
        </w:rPr>
        <w:t>一、2019年度收入支出决算总体情况说明</w:t>
      </w:r>
    </w:p>
    <w:p w14:paraId="2006F340">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2019年度收、支总计36,750.25万元。与2018年相比，收、支总计(减少) -4,680.26万元，(下降) -11.30%，主要原因是街道建设项目资金的减少。</w:t>
      </w:r>
    </w:p>
    <w:p w14:paraId="77BB3244">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32"/>
          <w:szCs w:val="32"/>
        </w:rPr>
      </w:pPr>
      <w:r>
        <w:rPr>
          <w:rFonts w:hint="eastAsia" w:ascii="宋体" w:hAnsi="宋体" w:eastAsia="宋体" w:cs="宋体"/>
          <w:kern w:val="0"/>
          <w:sz w:val="32"/>
          <w:szCs w:val="32"/>
        </w:rPr>
        <w:t>图1：收、支决算总计变动情况(略)</w:t>
      </w:r>
    </w:p>
    <w:p w14:paraId="670F5B37">
      <w:pPr>
        <w:keepNext w:val="0"/>
        <w:keepLines w:val="0"/>
        <w:widowControl/>
        <w:suppressLineNumbers w:val="0"/>
        <w:snapToGrid w:val="0"/>
        <w:spacing w:before="0" w:beforeAutospacing="1" w:after="0" w:afterAutospacing="1" w:line="540" w:lineRule="atLeast"/>
        <w:ind w:left="0" w:right="0" w:firstLine="640"/>
        <w:rPr>
          <w:rFonts w:hint="eastAsia" w:ascii="仿宋_GB2312" w:hAnsi="宋体" w:eastAsia="仿宋_GB2312" w:cs="仿宋_GB2312"/>
          <w:kern w:val="0"/>
          <w:sz w:val="32"/>
          <w:szCs w:val="32"/>
        </w:rPr>
      </w:pPr>
      <w:r>
        <w:drawing>
          <wp:inline distT="0" distB="0" distL="114300" distR="114300">
            <wp:extent cx="5229225" cy="3895725"/>
            <wp:effectExtent l="0" t="0" r="9525" b="952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link="rId13"/>
                    <a:stretch>
                      <a:fillRect/>
                    </a:stretch>
                  </pic:blipFill>
                  <pic:spPr>
                    <a:xfrm>
                      <a:off x="0" y="0"/>
                      <a:ext cx="5229225" cy="3895725"/>
                    </a:xfrm>
                    <a:prstGeom prst="rect">
                      <a:avLst/>
                    </a:prstGeom>
                    <a:noFill/>
                    <a:ln w="9525">
                      <a:noFill/>
                    </a:ln>
                  </pic:spPr>
                </pic:pic>
              </a:graphicData>
            </a:graphic>
          </wp:inline>
        </w:drawing>
      </w:r>
    </w:p>
    <w:p w14:paraId="13679170">
      <w:pPr>
        <w:keepNext w:val="0"/>
        <w:keepLines w:val="0"/>
        <w:widowControl/>
        <w:suppressLineNumbers w:val="0"/>
        <w:snapToGrid w:val="0"/>
        <w:spacing w:before="0" w:beforeAutospacing="1" w:after="0" w:afterAutospacing="1" w:line="540" w:lineRule="atLeast"/>
        <w:ind w:left="0" w:righ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w:t>
      </w:r>
    </w:p>
    <w:p w14:paraId="5DE39776">
      <w:pPr>
        <w:keepNext w:val="0"/>
        <w:keepLines w:val="0"/>
        <w:widowControl/>
        <w:suppressLineNumbers w:val="0"/>
        <w:autoSpaceDE w:val="0"/>
        <w:autoSpaceDN/>
        <w:snapToGrid w:val="0"/>
        <w:spacing w:before="0" w:beforeAutospacing="1" w:after="0" w:afterAutospacing="1" w:line="360" w:lineRule="auto"/>
        <w:ind w:left="0" w:right="0" w:firstLine="640"/>
        <w:rPr>
          <w:rFonts w:hint="default" w:ascii="黑体" w:hAnsi="宋体" w:eastAsia="黑体" w:cs="黑体"/>
          <w:b w:val="0"/>
          <w:bCs w:val="0"/>
          <w:kern w:val="0"/>
          <w:sz w:val="32"/>
          <w:szCs w:val="32"/>
        </w:rPr>
      </w:pPr>
      <w:r>
        <w:rPr>
          <w:rFonts w:hint="default" w:ascii="黑体" w:hAnsi="宋体" w:eastAsia="黑体" w:cs="黑体"/>
          <w:b w:val="0"/>
          <w:bCs w:val="0"/>
          <w:kern w:val="0"/>
          <w:sz w:val="32"/>
          <w:szCs w:val="32"/>
        </w:rPr>
        <w:t>二、2019年度收入决算情况说明</w:t>
      </w:r>
    </w:p>
    <w:p w14:paraId="158C9E4F">
      <w:pPr>
        <w:keepNext w:val="0"/>
        <w:keepLines w:val="0"/>
        <w:widowControl/>
        <w:suppressLineNumbers w:val="0"/>
        <w:autoSpaceDE w:val="0"/>
        <w:autoSpaceDN/>
        <w:snapToGrid w:val="0"/>
        <w:spacing w:before="0" w:beforeAutospacing="1" w:after="0" w:afterAutospacing="1"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2019年度本年收入合计36,750.25万元。其中：财政拨款收入36,750.25万元，占本年收入100.00。</w:t>
      </w:r>
    </w:p>
    <w:p w14:paraId="4992A5FF">
      <w:pPr>
        <w:keepNext w:val="0"/>
        <w:keepLines w:val="0"/>
        <w:widowControl/>
        <w:suppressLineNumbers w:val="0"/>
        <w:autoSpaceDE w:val="0"/>
        <w:autoSpaceDN/>
        <w:snapToGrid w:val="0"/>
        <w:spacing w:before="0" w:beforeAutospacing="1" w:after="0" w:afterAutospacing="1" w:line="360" w:lineRule="auto"/>
        <w:ind w:left="0" w:right="0" w:firstLine="960"/>
        <w:rPr>
          <w:rFonts w:hint="eastAsia" w:ascii="宋体" w:hAnsi="宋体" w:eastAsia="宋体" w:cs="宋体"/>
          <w:kern w:val="0"/>
          <w:sz w:val="32"/>
          <w:szCs w:val="32"/>
        </w:rPr>
      </w:pPr>
      <w:r>
        <w:rPr>
          <w:rFonts w:hint="eastAsia" w:ascii="宋体" w:hAnsi="宋体" w:eastAsia="宋体" w:cs="宋体"/>
          <w:kern w:val="0"/>
          <w:sz w:val="32"/>
          <w:szCs w:val="32"/>
        </w:rPr>
        <w:t>图2：收入决算结构(略)</w:t>
      </w:r>
    </w:p>
    <w:p w14:paraId="6299EBDA">
      <w:pPr>
        <w:keepNext w:val="0"/>
        <w:keepLines w:val="0"/>
        <w:widowControl/>
        <w:suppressLineNumbers w:val="0"/>
        <w:snapToGrid w:val="0"/>
        <w:spacing w:before="0" w:beforeAutospacing="1" w:after="0" w:afterAutospacing="1" w:line="540" w:lineRule="atLeast"/>
        <w:ind w:left="0" w:right="0" w:firstLine="960"/>
        <w:rPr>
          <w:rFonts w:hint="eastAsia" w:ascii="仿宋_GB2312" w:hAnsi="宋体" w:eastAsia="仿宋_GB2312" w:cs="仿宋_GB2312"/>
          <w:kern w:val="0"/>
          <w:sz w:val="32"/>
          <w:szCs w:val="32"/>
        </w:rPr>
      </w:pPr>
      <w:r>
        <w:drawing>
          <wp:inline distT="0" distB="0" distL="114300" distR="114300">
            <wp:extent cx="5210175" cy="3895725"/>
            <wp:effectExtent l="0" t="0" r="9525" b="9525"/>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link="rId14"/>
                    <a:stretch>
                      <a:fillRect/>
                    </a:stretch>
                  </pic:blipFill>
                  <pic:spPr>
                    <a:xfrm>
                      <a:off x="0" y="0"/>
                      <a:ext cx="5210175" cy="3895725"/>
                    </a:xfrm>
                    <a:prstGeom prst="rect">
                      <a:avLst/>
                    </a:prstGeom>
                    <a:noFill/>
                    <a:ln w="9525">
                      <a:noFill/>
                    </a:ln>
                  </pic:spPr>
                </pic:pic>
              </a:graphicData>
            </a:graphic>
          </wp:inline>
        </w:drawing>
      </w:r>
    </w:p>
    <w:p w14:paraId="1DDFAE58">
      <w:pPr>
        <w:keepNext w:val="0"/>
        <w:keepLines w:val="0"/>
        <w:widowControl/>
        <w:suppressLineNumbers w:val="0"/>
        <w:autoSpaceDE w:val="0"/>
        <w:autoSpaceDN/>
        <w:snapToGrid w:val="0"/>
        <w:spacing w:before="0" w:beforeAutospacing="1" w:after="0" w:afterAutospacing="1" w:line="360" w:lineRule="auto"/>
        <w:ind w:left="0" w:right="0" w:firstLine="640"/>
        <w:rPr>
          <w:rFonts w:hint="default" w:ascii="黑体" w:hAnsi="宋体" w:eastAsia="黑体" w:cs="黑体"/>
          <w:kern w:val="0"/>
          <w:sz w:val="32"/>
          <w:szCs w:val="32"/>
        </w:rPr>
      </w:pPr>
      <w:r>
        <w:rPr>
          <w:rFonts w:hint="default" w:ascii="黑体" w:hAnsi="宋体" w:eastAsia="黑体" w:cs="黑体"/>
          <w:kern w:val="0"/>
          <w:sz w:val="32"/>
          <w:szCs w:val="32"/>
        </w:rPr>
        <w:t>三、2019年度支出决算情况说明</w:t>
      </w:r>
    </w:p>
    <w:p w14:paraId="7204BB2E">
      <w:pPr>
        <w:keepNext w:val="0"/>
        <w:keepLines w:val="0"/>
        <w:widowControl/>
        <w:suppressLineNumbers w:val="0"/>
        <w:autoSpaceDE w:val="0"/>
        <w:autoSpaceDN/>
        <w:snapToGrid w:val="0"/>
        <w:spacing w:before="0" w:beforeAutospacing="1" w:after="0" w:afterAutospacing="1"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2019年度本年支出合计36,750.25万元。其中：基本支出3,157.81万元，占本年支出8.59%；项目支出33,592.44万元，占本年支出91.41%。</w:t>
      </w:r>
    </w:p>
    <w:p w14:paraId="5817DDDE">
      <w:pPr>
        <w:keepNext w:val="0"/>
        <w:keepLines w:val="0"/>
        <w:widowControl/>
        <w:suppressLineNumbers w:val="0"/>
        <w:autoSpaceDE w:val="0"/>
        <w:autoSpaceDN/>
        <w:snapToGrid w:val="0"/>
        <w:spacing w:before="0" w:beforeAutospacing="1" w:after="0" w:afterAutospacing="1" w:line="360" w:lineRule="auto"/>
        <w:ind w:left="0" w:right="0" w:firstLine="1280"/>
        <w:rPr>
          <w:rFonts w:hint="eastAsia" w:ascii="宋体" w:hAnsi="宋体" w:eastAsia="宋体" w:cs="宋体"/>
          <w:kern w:val="0"/>
          <w:sz w:val="32"/>
          <w:szCs w:val="32"/>
        </w:rPr>
      </w:pPr>
      <w:r>
        <w:rPr>
          <w:rFonts w:hint="eastAsia" w:ascii="宋体" w:hAnsi="宋体" w:eastAsia="宋体" w:cs="宋体"/>
          <w:kern w:val="0"/>
          <w:sz w:val="32"/>
          <w:szCs w:val="32"/>
        </w:rPr>
        <w:t>图3：支出决算结构(略)</w:t>
      </w:r>
    </w:p>
    <w:p w14:paraId="72F1F3F0">
      <w:pPr>
        <w:keepNext w:val="0"/>
        <w:keepLines w:val="0"/>
        <w:widowControl/>
        <w:suppressLineNumbers w:val="0"/>
        <w:snapToGrid w:val="0"/>
        <w:spacing w:before="0" w:beforeAutospacing="1" w:after="0" w:afterAutospacing="1" w:line="540" w:lineRule="atLeast"/>
        <w:ind w:left="0" w:right="0" w:firstLine="1280"/>
        <w:rPr>
          <w:rFonts w:hint="eastAsia" w:ascii="仿宋_GB2312" w:hAnsi="宋体" w:eastAsia="仿宋_GB2312" w:cs="仿宋_GB2312"/>
          <w:kern w:val="0"/>
          <w:sz w:val="32"/>
          <w:szCs w:val="32"/>
        </w:rPr>
      </w:pPr>
      <w:r>
        <w:drawing>
          <wp:inline distT="0" distB="0" distL="114300" distR="114300">
            <wp:extent cx="5257800" cy="3514725"/>
            <wp:effectExtent l="0" t="0" r="0" b="9525"/>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link="rId15"/>
                    <a:stretch>
                      <a:fillRect/>
                    </a:stretch>
                  </pic:blipFill>
                  <pic:spPr>
                    <a:xfrm>
                      <a:off x="0" y="0"/>
                      <a:ext cx="5257800" cy="3514725"/>
                    </a:xfrm>
                    <a:prstGeom prst="rect">
                      <a:avLst/>
                    </a:prstGeom>
                    <a:noFill/>
                    <a:ln w="9525">
                      <a:noFill/>
                    </a:ln>
                  </pic:spPr>
                </pic:pic>
              </a:graphicData>
            </a:graphic>
          </wp:inline>
        </w:drawing>
      </w:r>
    </w:p>
    <w:p w14:paraId="72CF8F1C">
      <w:pPr>
        <w:keepNext w:val="0"/>
        <w:keepLines w:val="0"/>
        <w:widowControl/>
        <w:suppressLineNumbers w:val="0"/>
        <w:snapToGrid w:val="0"/>
        <w:spacing w:before="0" w:beforeAutospacing="1" w:after="0" w:afterAutospacing="1" w:line="540" w:lineRule="atLeast"/>
        <w:ind w:left="0" w:right="0" w:firstLine="128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w:t>
      </w:r>
    </w:p>
    <w:p w14:paraId="5D5A1732">
      <w:pPr>
        <w:keepNext w:val="0"/>
        <w:keepLines w:val="0"/>
        <w:widowControl/>
        <w:suppressLineNumbers w:val="0"/>
        <w:autoSpaceDE w:val="0"/>
        <w:autoSpaceDN/>
        <w:snapToGrid w:val="0"/>
        <w:spacing w:before="0" w:beforeAutospacing="1" w:after="0" w:afterAutospacing="1"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四、2019年度财政拨款收入支出决算总体情况说明</w:t>
      </w:r>
    </w:p>
    <w:p w14:paraId="13CFF407">
      <w:pPr>
        <w:keepNext w:val="0"/>
        <w:keepLines w:val="0"/>
        <w:widowControl/>
        <w:suppressLineNumbers w:val="0"/>
        <w:autoSpaceDE w:val="0"/>
        <w:autoSpaceDN/>
        <w:snapToGrid w:val="0"/>
        <w:spacing w:before="0" w:beforeAutospacing="1" w:after="0" w:afterAutospacing="1" w:line="360" w:lineRule="auto"/>
        <w:ind w:left="0" w:right="0" w:firstLine="640"/>
        <w:rPr>
          <w:rFonts w:hint="eastAsia" w:ascii="宋体" w:hAnsi="宋体" w:eastAsia="宋体" w:cs="宋体"/>
          <w:kern w:val="0"/>
          <w:sz w:val="24"/>
          <w:szCs w:val="24"/>
        </w:rPr>
      </w:pPr>
      <w:r>
        <w:rPr>
          <w:rFonts w:hint="eastAsia" w:ascii="仿宋_GB2312" w:hAnsi="宋体" w:eastAsia="仿宋_GB2312" w:cs="仿宋_GB2312"/>
          <w:kern w:val="0"/>
          <w:sz w:val="32"/>
          <w:szCs w:val="32"/>
        </w:rPr>
        <w:t>2019年度财政拨款收、支总计36,750.25万元。与2018年相比，财政拨款收、支总计减少</w:t>
      </w:r>
      <w:r>
        <w:rPr>
          <w:rFonts w:hint="eastAsia" w:ascii="宋体" w:hAnsi="宋体" w:eastAsia="宋体" w:cs="宋体"/>
          <w:kern w:val="0"/>
          <w:sz w:val="24"/>
          <w:szCs w:val="24"/>
        </w:rPr>
        <w:t xml:space="preserve"> </w:t>
      </w:r>
      <w:r>
        <w:rPr>
          <w:rFonts w:hint="eastAsia" w:ascii="仿宋_GB2312" w:hAnsi="宋体" w:eastAsia="仿宋_GB2312" w:cs="仿宋_GB2312"/>
          <w:kern w:val="0"/>
          <w:sz w:val="32"/>
          <w:szCs w:val="32"/>
        </w:rPr>
        <w:t>-4,680.26万元，下降</w:t>
      </w:r>
      <w:r>
        <w:rPr>
          <w:rFonts w:hint="eastAsia" w:ascii="宋体" w:hAnsi="宋体" w:eastAsia="宋体" w:cs="宋体"/>
          <w:kern w:val="0"/>
          <w:sz w:val="24"/>
          <w:szCs w:val="24"/>
        </w:rPr>
        <w:t xml:space="preserve"> </w:t>
      </w:r>
      <w:r>
        <w:rPr>
          <w:rFonts w:hint="eastAsia" w:ascii="仿宋_GB2312" w:hAnsi="宋体" w:eastAsia="仿宋_GB2312" w:cs="仿宋_GB2312"/>
          <w:kern w:val="0"/>
          <w:sz w:val="32"/>
          <w:szCs w:val="32"/>
        </w:rPr>
        <w:t>-11.30%。主要原因是街道建设项目资金的减少。</w:t>
      </w:r>
    </w:p>
    <w:p w14:paraId="294A945B">
      <w:pPr>
        <w:keepNext w:val="0"/>
        <w:keepLines w:val="0"/>
        <w:widowControl/>
        <w:suppressLineNumbers w:val="0"/>
        <w:autoSpaceDE w:val="0"/>
        <w:autoSpaceDN/>
        <w:snapToGrid w:val="0"/>
        <w:spacing w:before="0" w:beforeAutospacing="1" w:after="0" w:afterAutospacing="1" w:line="360" w:lineRule="auto"/>
        <w:ind w:left="0" w:right="0" w:firstLine="96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图4：财政拨款收、支决算总计变动情况(略)</w:t>
      </w:r>
    </w:p>
    <w:p w14:paraId="788C147E">
      <w:pPr>
        <w:keepNext w:val="0"/>
        <w:keepLines w:val="0"/>
        <w:widowControl/>
        <w:suppressLineNumbers w:val="0"/>
        <w:snapToGrid w:val="0"/>
        <w:spacing w:before="0" w:beforeAutospacing="1" w:after="0" w:afterAutospacing="1" w:line="540" w:lineRule="atLeast"/>
        <w:ind w:left="0" w:right="0" w:firstLine="960"/>
        <w:rPr>
          <w:rFonts w:hint="eastAsia" w:ascii="仿宋_GB2312" w:hAnsi="宋体" w:eastAsia="仿宋_GB2312" w:cs="仿宋_GB2312"/>
          <w:kern w:val="0"/>
          <w:sz w:val="32"/>
          <w:szCs w:val="32"/>
        </w:rPr>
      </w:pPr>
      <w:r>
        <w:drawing>
          <wp:inline distT="0" distB="0" distL="114300" distR="114300">
            <wp:extent cx="5210175" cy="327660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link="rId16"/>
                    <a:stretch>
                      <a:fillRect/>
                    </a:stretch>
                  </pic:blipFill>
                  <pic:spPr>
                    <a:xfrm>
                      <a:off x="0" y="0"/>
                      <a:ext cx="5210175" cy="3276600"/>
                    </a:xfrm>
                    <a:prstGeom prst="rect">
                      <a:avLst/>
                    </a:prstGeom>
                    <a:noFill/>
                    <a:ln w="9525">
                      <a:noFill/>
                    </a:ln>
                  </pic:spPr>
                </pic:pic>
              </a:graphicData>
            </a:graphic>
          </wp:inline>
        </w:drawing>
      </w:r>
    </w:p>
    <w:p w14:paraId="141D04EE">
      <w:pPr>
        <w:pStyle w:val="18"/>
        <w:keepNext w:val="0"/>
        <w:keepLines w:val="0"/>
        <w:widowControl/>
        <w:suppressLineNumbers w:val="0"/>
        <w:snapToGrid w:val="0"/>
        <w:spacing w:before="0" w:beforeAutospacing="0" w:after="0" w:afterAutospacing="0" w:line="360" w:lineRule="auto"/>
        <w:ind w:left="0" w:right="0" w:firstLine="640"/>
        <w:jc w:val="both"/>
        <w:rPr>
          <w:rFonts w:hint="eastAsia" w:ascii="宋体" w:hAnsi="宋体" w:eastAsia="宋体" w:cs="宋体"/>
          <w:kern w:val="0"/>
          <w:sz w:val="24"/>
          <w:szCs w:val="24"/>
        </w:rPr>
      </w:pPr>
      <w:r>
        <w:rPr>
          <w:rFonts w:hint="default" w:ascii="黑体" w:hAnsi="宋体" w:eastAsia="黑体" w:cs="黑体"/>
          <w:kern w:val="0"/>
          <w:sz w:val="32"/>
          <w:szCs w:val="32"/>
        </w:rPr>
        <w:t>五、2019年度一般公共预算财政拨款支出决算情况说明</w:t>
      </w:r>
    </w:p>
    <w:p w14:paraId="461D118A">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b w:val="0"/>
          <w:bCs w:val="0"/>
          <w:kern w:val="0"/>
          <w:sz w:val="32"/>
          <w:szCs w:val="32"/>
        </w:rPr>
      </w:pPr>
      <w:r>
        <w:rPr>
          <w:rFonts w:hint="eastAsia" w:ascii="宋体" w:hAnsi="宋体" w:eastAsia="宋体" w:cs="宋体"/>
          <w:kern w:val="0"/>
          <w:sz w:val="32"/>
          <w:szCs w:val="32"/>
        </w:rPr>
        <w:t>(</w:t>
      </w:r>
      <w:r>
        <w:rPr>
          <w:rFonts w:hint="eastAsia" w:ascii="宋体" w:hAnsi="宋体" w:eastAsia="宋体" w:cs="宋体"/>
          <w:b w:val="0"/>
          <w:bCs w:val="0"/>
          <w:kern w:val="0"/>
          <w:sz w:val="32"/>
          <w:szCs w:val="32"/>
        </w:rPr>
        <w:t>一)财政拨款支出决算总体情况。</w:t>
      </w:r>
    </w:p>
    <w:p w14:paraId="2C69A2A9">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2019年度财政拨款支出13,040.80万元，占本年支出合计的35.48%。与2018年相比，财政拨款支出减少2,876.59万元，下降 28.30%。主要原因是街道建设项目资金的减少。</w:t>
      </w:r>
    </w:p>
    <w:p w14:paraId="335E5A36">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(二)财政拨款支出决算结构情况。</w:t>
      </w:r>
    </w:p>
    <w:p w14:paraId="46A18824">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财政拨款支出13,040.80万元，主要用于以下方面：一般公共服务(类)支出4,609.74万元，占35.35%；科学技术(类)支出10.00万元，占0.08%；文化旅游体育与传媒(类)支出30.54万元，占0.23%；社会保障和就业(类)支出709.24万元，占5.44%；卫生健康(类)支出450.95万元，占3.46%；节能环保(类)支出560.00万元，占4.29%；城乡社区(类)支出1,528.00万元，占11.72%；农林水(类)支出4,665.71万元，占35.78%；自然资源海洋气象等(类)支出233.28万元，占1.79%；住房保障(类)支出243.34万元，占1.87%。</w:t>
      </w:r>
    </w:p>
    <w:p w14:paraId="5DA7F01D">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(三)财政拨款支出决算具体情况。</w:t>
      </w:r>
    </w:p>
    <w:p w14:paraId="646C902D">
      <w:pPr>
        <w:keepNext w:val="0"/>
        <w:keepLines w:val="0"/>
        <w:widowControl/>
        <w:suppressLineNumbers w:val="0"/>
        <w:snapToGrid w:val="0"/>
        <w:spacing w:line="360" w:lineRule="auto"/>
        <w:ind w:left="0" w:firstLine="720" w:firstLineChars="225"/>
        <w:rPr>
          <w:rFonts w:hint="eastAsia" w:ascii="宋体" w:hAnsi="宋体" w:eastAsia="宋体" w:cs="宋体"/>
          <w:color w:val="0000FF"/>
          <w:kern w:val="0"/>
          <w:sz w:val="32"/>
          <w:szCs w:val="32"/>
        </w:rPr>
      </w:pPr>
      <w:r>
        <w:rPr>
          <w:rFonts w:hint="eastAsia" w:ascii="宋体" w:hAnsi="宋体" w:eastAsia="宋体" w:cs="宋体"/>
          <w:kern w:val="0"/>
          <w:sz w:val="32"/>
          <w:szCs w:val="32"/>
        </w:rPr>
        <w:t>2019年一般公共预算财政拨款支出年初预算为7,636.87万元，支出决算为13,040.80万元，完成年初预算的170.76%。其中：基本支出3,157.81万元，项目支出9,882.99万元。项目支出主要用于：一、一般公共服务支出2987.68万元。主要用于：1、确保乡镇的正常运转；2、离任村干部人员津贴和隐消干部人员补助得到了保障；3、信访和维稳工作做得更细、更稳、更实。二、科学技术支出10万元，主要用于消防安全。三、文化旅游与传媒支出30.54万元主要成效：1、基层文化建设和综合文化站免费开放工作推动文体活动经常化，让农民的业余文化生活得到满足和提升，宏扬了民族文化，丰富农村文化生活，激发全乡人民创业热情；2、解决了文体服务中心人员服务经费正常运转。四、社会保障和就业支出110.24万，主要用于公益性岗位工资及五险。五、卫生健康支出211万元，主要成效：解决了计生服务中心人员服务经费正常运转。六、节能环保支出560万元，主要用于污水管网改造及道路维修。七、城乡社区支出1528万元，主要成效：1、小城镇建设的维护使街道环境卫生变得更加干净、整治。2、确保了乡镇年终运转及建设项目的有效实施。</w:t>
      </w:r>
      <w:r>
        <w:rPr>
          <w:rFonts w:hint="eastAsia" w:ascii="仿宋_GB2312" w:hAnsi="宋体" w:eastAsia="仿宋_GB2312" w:cs="仿宋_GB2312"/>
          <w:kern w:val="0"/>
          <w:sz w:val="32"/>
          <w:szCs w:val="32"/>
        </w:rPr>
        <w:t>八、农林水支出4212.24万，</w:t>
      </w:r>
      <w:r>
        <w:rPr>
          <w:rFonts w:hint="eastAsia" w:ascii="宋体" w:hAnsi="宋体" w:eastAsia="宋体" w:cs="宋体"/>
          <w:kern w:val="0"/>
          <w:sz w:val="32"/>
          <w:szCs w:val="32"/>
        </w:rPr>
        <w:t>主要成效：1、改善了全街行政村农田灌溉用水、人畜生活用水的实际困难；2、改善了全街行政村的安全生产和交通出行方便；3、解决了农业综合服务中心人员服务经费正常运转； 4、解决了社事服务中心人员服务经费正常运转。</w:t>
      </w:r>
      <w:r>
        <w:rPr>
          <w:rFonts w:hint="eastAsia" w:ascii="仿宋_GB2312" w:hAnsi="宋体" w:eastAsia="仿宋_GB2312" w:cs="仿宋_GB2312"/>
          <w:kern w:val="0"/>
          <w:sz w:val="32"/>
          <w:szCs w:val="32"/>
        </w:rPr>
        <w:t>九、自然资源海洋气象等支出233.28万元。</w:t>
      </w:r>
      <w:r>
        <w:rPr>
          <w:rFonts w:hint="eastAsia" w:ascii="宋体" w:hAnsi="宋体" w:eastAsia="宋体" w:cs="宋体"/>
          <w:kern w:val="0"/>
          <w:sz w:val="32"/>
          <w:szCs w:val="32"/>
        </w:rPr>
        <w:t>主要成效：解决了国土资源服务中心人员服务经费正常运转。</w:t>
      </w:r>
    </w:p>
    <w:p w14:paraId="5B1149EE">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1.一般公共服务支出(类)。年初预算为3,469.79万元，支出决算为4,609.74万元，完成年初预算的132.85%。</w:t>
      </w:r>
    </w:p>
    <w:p w14:paraId="5D3D88EF">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2.科学技术支出（类）。年初预算为0.00万元，支出决算为10.00万元，完成年初预算的0%。</w:t>
      </w:r>
    </w:p>
    <w:p w14:paraId="179EB62C">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3.文化旅游体育与传媒支出（类）。年初预算为24.54万元，支出决算为30.54万元，完成年初预算的124.43%。</w:t>
      </w:r>
    </w:p>
    <w:p w14:paraId="56DFF184">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4.社会保障和就业支出（类）。年初预算为478.06万元，支出决算为709.24万元，完成年初预算的148.36%。</w:t>
      </w:r>
    </w:p>
    <w:p w14:paraId="0CB913D9">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5.卫生健康支出（类）。年初预算为335.19万元，支出决算为450.95万元，完成年初预算的134.54%。</w:t>
      </w:r>
    </w:p>
    <w:p w14:paraId="21C939A2">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6.节能环保支出（类）。年初预算为0.00万元，支出决算为560.00万元，完成年初预算的0%。</w:t>
      </w:r>
    </w:p>
    <w:p w14:paraId="6E1E6600">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7城乡社区支出（类）。年初预算为0.00万元，支出决算为1,528.00万元。</w:t>
      </w:r>
    </w:p>
    <w:p w14:paraId="2B308389">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8.农林水支出（类）。年初预算为3,005.97万元，支出决算为4,665.71万元，完成年初预算的155.21%。</w:t>
      </w:r>
    </w:p>
    <w:p w14:paraId="2657C073">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9.自然资源海洋气象等支出（类）。年初预算为174.96万元，支出决算为233.28万元。</w:t>
      </w:r>
    </w:p>
    <w:p w14:paraId="634D30E6">
      <w:pPr>
        <w:pStyle w:val="18"/>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10.住房保障支出（类）。年初预算为148.36万元，支出决算为243.34万元。</w:t>
      </w:r>
    </w:p>
    <w:p w14:paraId="1540F556">
      <w:pPr>
        <w:pStyle w:val="18"/>
        <w:keepNext w:val="0"/>
        <w:keepLines w:val="0"/>
        <w:widowControl/>
        <w:suppressLineNumbers w:val="0"/>
        <w:snapToGrid w:val="0"/>
        <w:spacing w:before="0" w:beforeAutospacing="0" w:after="0" w:afterAutospacing="0" w:line="360" w:lineRule="auto"/>
        <w:ind w:left="0" w:right="0" w:firstLine="640"/>
        <w:jc w:val="both"/>
        <w:rPr>
          <w:rFonts w:hint="eastAsia" w:ascii="宋体" w:hAnsi="宋体" w:eastAsia="宋体" w:cs="宋体"/>
          <w:kern w:val="0"/>
          <w:sz w:val="24"/>
          <w:szCs w:val="24"/>
        </w:rPr>
      </w:pPr>
      <w:r>
        <w:rPr>
          <w:rFonts w:hint="default" w:ascii="黑体" w:hAnsi="宋体" w:eastAsia="黑体" w:cs="黑体"/>
          <w:kern w:val="0"/>
          <w:sz w:val="32"/>
          <w:szCs w:val="32"/>
        </w:rPr>
        <w:t>六、2019年度一般公共预算财政拨款基本支出决算情况说明</w:t>
      </w:r>
    </w:p>
    <w:p w14:paraId="4A73785F">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2019度一般公共预算财政拨款基本支出3,157.81万元，其中，</w:t>
      </w:r>
      <w:r>
        <w:rPr>
          <w:rFonts w:hint="eastAsia" w:ascii="宋体" w:hAnsi="宋体" w:eastAsia="宋体" w:cs="宋体"/>
          <w:b/>
          <w:bCs/>
          <w:kern w:val="0"/>
          <w:sz w:val="32"/>
          <w:szCs w:val="32"/>
        </w:rPr>
        <w:t>人员经费2,802.85</w:t>
      </w:r>
      <w:r>
        <w:rPr>
          <w:rFonts w:hint="eastAsia" w:ascii="宋体" w:hAnsi="宋体" w:eastAsia="宋体" w:cs="宋体"/>
          <w:kern w:val="0"/>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其他对个人和家庭的补助；</w:t>
      </w:r>
      <w:r>
        <w:rPr>
          <w:rFonts w:hint="eastAsia" w:ascii="宋体" w:hAnsi="宋体" w:eastAsia="宋体" w:cs="宋体"/>
          <w:b/>
          <w:bCs/>
          <w:kern w:val="0"/>
          <w:sz w:val="32"/>
          <w:szCs w:val="32"/>
        </w:rPr>
        <w:t>公用经费354.96</w:t>
      </w:r>
      <w:r>
        <w:rPr>
          <w:rFonts w:hint="eastAsia" w:ascii="宋体" w:hAnsi="宋体" w:eastAsia="宋体" w:cs="宋体"/>
          <w:kern w:val="0"/>
          <w:sz w:val="32"/>
          <w:szCs w:val="32"/>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国内债务付息、办公设备购置、专用设备购置、信息网络及软件购置更新、公务用车购置、其他交通工具购置、文物和陈列品购置、无形资产购置、其他资本性支出、费用补贴、其他对企业补助、对民间非营利组织和群众性自治组织补贴。(只说明本部门主要使用科目)</w:t>
      </w:r>
    </w:p>
    <w:p w14:paraId="140176F2">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七、2019年度一般公共预算财政拨款“三公”经费支出决算情况说明</w:t>
      </w:r>
    </w:p>
    <w:p w14:paraId="6F700133">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(一)“三公”经费的单位范围。</w:t>
      </w:r>
    </w:p>
    <w:p w14:paraId="07C93263">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color w:val="000000"/>
          <w:kern w:val="0"/>
          <w:sz w:val="32"/>
          <w:szCs w:val="32"/>
        </w:rPr>
        <w:t>武汉市黄陂区祁家湾街道办事处（汇总）有一般公共预算财政拨款预算安排“三公”经费的单位包括武汉市黄陂区祁家湾街道办事处（汇总）本级及下属</w:t>
      </w:r>
      <w:r>
        <w:rPr>
          <w:rFonts w:hint="eastAsia" w:ascii="宋体" w:hAnsi="宋体" w:eastAsia="宋体" w:cs="宋体"/>
          <w:color w:val="000000"/>
          <w:kern w:val="0"/>
          <w:sz w:val="32"/>
          <w:szCs w:val="32"/>
          <w:u w:val="single"/>
        </w:rPr>
        <w:t xml:space="preserve">    1  </w:t>
      </w:r>
      <w:r>
        <w:rPr>
          <w:rFonts w:hint="eastAsia" w:ascii="宋体" w:hAnsi="宋体" w:eastAsia="宋体" w:cs="宋体"/>
          <w:color w:val="000000"/>
          <w:kern w:val="0"/>
          <w:sz w:val="32"/>
          <w:szCs w:val="32"/>
        </w:rPr>
        <w:t>个行政单位、</w:t>
      </w:r>
      <w:r>
        <w:rPr>
          <w:rFonts w:hint="eastAsia" w:ascii="宋体" w:hAnsi="宋体" w:eastAsia="宋体" w:cs="宋体"/>
          <w:color w:val="000000"/>
          <w:kern w:val="0"/>
          <w:sz w:val="32"/>
          <w:szCs w:val="32"/>
          <w:u w:val="single"/>
        </w:rPr>
        <w:t xml:space="preserve">   1   </w:t>
      </w:r>
      <w:r>
        <w:rPr>
          <w:rFonts w:hint="eastAsia" w:ascii="宋体" w:hAnsi="宋体" w:eastAsia="宋体" w:cs="宋体"/>
          <w:color w:val="000000"/>
          <w:kern w:val="0"/>
          <w:sz w:val="32"/>
          <w:szCs w:val="32"/>
        </w:rPr>
        <w:t>个全额拨款事业单位。</w:t>
      </w:r>
    </w:p>
    <w:p w14:paraId="19CD9CEB">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(二)一般公共预算财政拨款“三公”经费支出决算情况。</w:t>
      </w:r>
    </w:p>
    <w:p w14:paraId="6517F493">
      <w:pPr>
        <w:keepNext w:val="0"/>
        <w:keepLines w:val="0"/>
        <w:widowControl/>
        <w:suppressLineNumbers w:val="0"/>
        <w:snapToGrid w:val="0"/>
        <w:spacing w:line="360" w:lineRule="auto"/>
        <w:ind w:left="0"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2.公务用车购置及运行维护费支出决算为12.48万元，完成预算的98%；其中：</w:t>
      </w:r>
    </w:p>
    <w:p w14:paraId="13A28196">
      <w:pPr>
        <w:keepNext w:val="0"/>
        <w:keepLines w:val="0"/>
        <w:widowControl/>
        <w:suppressLineNumbers w:val="0"/>
        <w:snapToGrid w:val="0"/>
        <w:spacing w:line="360" w:lineRule="auto"/>
        <w:ind w:left="0"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(1)公务用车购置费0万元，为预算的0%，比预算增加(减少)0.00万元，主要原因是……。本年度购置(更新)公务用车0.00辆，年末公务用车保有量2辆。</w:t>
      </w:r>
    </w:p>
    <w:p w14:paraId="119B6CC8">
      <w:pPr>
        <w:keepNext w:val="0"/>
        <w:keepLines w:val="0"/>
        <w:widowControl/>
        <w:suppressLineNumbers w:val="0"/>
        <w:snapToGrid w:val="0"/>
        <w:spacing w:line="360" w:lineRule="auto"/>
        <w:ind w:left="0"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(2)公务用车运行维护费12.48万元，主要用于公务车运行维护费，其中：燃料费 5.7万元；维修费 4.18万元；过桥过路费 1.1万元；保险费1.5万元。</w:t>
      </w:r>
    </w:p>
    <w:p w14:paraId="0411AA85">
      <w:pPr>
        <w:keepNext w:val="0"/>
        <w:keepLines w:val="0"/>
        <w:widowControl/>
        <w:suppressLineNumbers w:val="0"/>
        <w:snapToGrid w:val="0"/>
        <w:spacing w:line="360" w:lineRule="auto"/>
        <w:ind w:left="0" w:firstLine="720" w:firstLineChars="225"/>
        <w:rPr>
          <w:rFonts w:hint="eastAsia" w:ascii="宋体" w:hAnsi="宋体" w:eastAsia="宋体" w:cs="宋体"/>
          <w:color w:val="000000"/>
          <w:kern w:val="0"/>
          <w:sz w:val="32"/>
          <w:szCs w:val="32"/>
        </w:rPr>
      </w:pPr>
      <w:r>
        <w:rPr>
          <w:rFonts w:hint="eastAsia" w:ascii="宋体" w:hAnsi="宋体" w:eastAsia="宋体" w:cs="宋体"/>
          <w:kern w:val="0"/>
          <w:sz w:val="32"/>
          <w:szCs w:val="32"/>
        </w:rPr>
        <w:t>(3)公务接待费支出决算为17.11万元，为预算的100%， 2018年祁家湾街道办事处执行公务和开展业务活动开支公务接待费17.11万元。</w:t>
      </w:r>
      <w:r>
        <w:rPr>
          <w:rFonts w:hint="eastAsia" w:ascii="宋体" w:hAnsi="宋体" w:eastAsia="宋体" w:cs="宋体"/>
          <w:color w:val="000000"/>
          <w:kern w:val="0"/>
          <w:sz w:val="32"/>
          <w:szCs w:val="32"/>
        </w:rPr>
        <w:t>主要用于国内公务接待的接待工作265批次2986人次。(其中：陪同790人次。)</w:t>
      </w:r>
    </w:p>
    <w:p w14:paraId="544E4FB8">
      <w:pPr>
        <w:pStyle w:val="18"/>
        <w:keepNext w:val="0"/>
        <w:keepLines w:val="0"/>
        <w:widowControl/>
        <w:suppressLineNumbers w:val="0"/>
        <w:snapToGrid w:val="0"/>
        <w:spacing w:before="0" w:beforeAutospacing="0" w:after="0" w:afterAutospacing="0" w:line="360" w:lineRule="auto"/>
        <w:ind w:left="0" w:right="0" w:firstLine="640"/>
        <w:jc w:val="both"/>
        <w:rPr>
          <w:rFonts w:hint="eastAsia" w:ascii="宋体" w:hAnsi="宋体" w:eastAsia="宋体" w:cs="宋体"/>
          <w:kern w:val="0"/>
          <w:sz w:val="24"/>
          <w:szCs w:val="24"/>
        </w:rPr>
      </w:pPr>
      <w:r>
        <w:rPr>
          <w:rFonts w:hint="default" w:ascii="黑体" w:hAnsi="宋体" w:eastAsia="黑体" w:cs="黑体"/>
          <w:kern w:val="0"/>
          <w:sz w:val="32"/>
          <w:szCs w:val="32"/>
        </w:rPr>
        <w:t>八、2019年度政府性基金预算财政拨款收入支出决算情况</w:t>
      </w:r>
    </w:p>
    <w:p w14:paraId="21D51AD1">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2019年政府性基金预算财政拨款年初结转和结余0.00万元，本年收入23,709.45万元，本年支出23,709.45万元，年末结转和结余0.00万元。具体支出情况为：</w:t>
      </w:r>
    </w:p>
    <w:p w14:paraId="2A7273E6">
      <w:pPr>
        <w:keepNext w:val="0"/>
        <w:keepLines w:val="0"/>
        <w:widowControl/>
        <w:numPr>
          <w:ilvl w:val="0"/>
          <w:numId w:val="2"/>
        </w:numPr>
        <w:suppressLineNumbers w:val="0"/>
        <w:snapToGrid w:val="0"/>
        <w:spacing w:line="360" w:lineRule="auto"/>
        <w:ind w:left="0"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城乡社区支出（类）。支出决算为23,709.45万元，</w:t>
      </w:r>
      <w:r>
        <w:rPr>
          <w:rFonts w:hint="eastAsia" w:ascii="宋体" w:hAnsi="宋体" w:eastAsia="宋体" w:cs="宋体"/>
          <w:kern w:val="44"/>
          <w:sz w:val="32"/>
          <w:szCs w:val="32"/>
        </w:rPr>
        <w:t>主要用于</w:t>
      </w:r>
      <w:r>
        <w:rPr>
          <w:rFonts w:hint="eastAsia" w:ascii="宋体" w:hAnsi="宋体" w:eastAsia="宋体" w:cs="宋体"/>
          <w:kern w:val="0"/>
          <w:sz w:val="32"/>
          <w:szCs w:val="32"/>
        </w:rPr>
        <w:t>土地开发支出、城管革命进农村、大城管运行经费、村湾环境长效管理经费等方面支出。</w:t>
      </w:r>
    </w:p>
    <w:p w14:paraId="7F270429">
      <w:pPr>
        <w:keepNext w:val="0"/>
        <w:keepLines w:val="0"/>
        <w:widowControl/>
        <w:numPr>
          <w:ilvl w:val="0"/>
          <w:numId w:val="3"/>
        </w:numPr>
        <w:suppressLineNumbers w:val="0"/>
        <w:snapToGrid w:val="0"/>
        <w:spacing w:line="360" w:lineRule="auto"/>
        <w:ind w:left="0" w:right="0" w:rightChars="0" w:firstLine="0"/>
        <w:rPr>
          <w:rFonts w:hint="eastAsia" w:ascii="宋体" w:hAnsi="宋体" w:eastAsia="宋体" w:cs="宋体"/>
          <w:b/>
          <w:bCs/>
          <w:kern w:val="0"/>
          <w:sz w:val="32"/>
          <w:szCs w:val="32"/>
        </w:rPr>
      </w:pPr>
      <w:r>
        <w:rPr>
          <w:rFonts w:hint="eastAsia" w:ascii="宋体" w:hAnsi="宋体" w:eastAsia="宋体" w:cs="宋体"/>
          <w:b/>
          <w:bCs/>
          <w:kern w:val="0"/>
          <w:sz w:val="32"/>
          <w:szCs w:val="32"/>
        </w:rPr>
        <w:t>预算绩效情况说明</w:t>
      </w:r>
    </w:p>
    <w:p w14:paraId="53DD7FB5">
      <w:pPr>
        <w:keepNext w:val="0"/>
        <w:keepLines w:val="0"/>
        <w:widowControl/>
        <w:numPr>
          <w:ilvl w:val="0"/>
          <w:numId w:val="4"/>
        </w:numPr>
        <w:suppressLineNumbers w:val="0"/>
        <w:snapToGrid w:val="0"/>
        <w:spacing w:line="360" w:lineRule="auto"/>
        <w:ind w:left="0" w:right="0" w:rightChars="0" w:firstLine="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预算绩效管理工作开展情况。</w:t>
      </w:r>
    </w:p>
    <w:p w14:paraId="26DCDB6E">
      <w:pPr>
        <w:keepNext w:val="0"/>
        <w:keepLines w:val="0"/>
        <w:widowControl/>
        <w:suppressLineNumbers w:val="0"/>
        <w:snapToGrid w:val="0"/>
        <w:spacing w:line="360" w:lineRule="auto"/>
        <w:ind w:leftChars="0" w:right="0" w:rightChars="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根据预算绩效管理要求，我单位组织对2019年度一般公共预算项目支出全面开展绩效自评，共涉及项目3个，资金1494.96万元，组织3个部门开展整体支出绩效自评，资金1494.96万元。人绩效评价情况来看，为了加强和规范预算绩效评价结果应用，提高财政资金使用效益和管理水平，建立科学合理的预算绩效管理机制。坚持问题导向，制定整改方案，落实整改责任，应遵循突出重点、客观真实、注重实效“谁组织实施、谁进行公开”的原则，在一定范围内公开。</w:t>
      </w:r>
    </w:p>
    <w:p w14:paraId="67AB7618">
      <w:pPr>
        <w:keepNext w:val="0"/>
        <w:keepLines w:val="0"/>
        <w:widowControl/>
        <w:numPr>
          <w:ilvl w:val="0"/>
          <w:numId w:val="4"/>
        </w:numPr>
        <w:suppressLineNumbers w:val="0"/>
        <w:snapToGrid w:val="0"/>
        <w:spacing w:line="360" w:lineRule="auto"/>
        <w:ind w:left="0" w:leftChars="0" w:right="0" w:rightChars="0" w:firstLine="0" w:firstLineChars="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绩效自评结果。</w:t>
      </w:r>
    </w:p>
    <w:p w14:paraId="4F2D7BF7">
      <w:pPr>
        <w:keepNext w:val="0"/>
        <w:keepLines w:val="0"/>
        <w:widowControl/>
        <w:suppressLineNumbers w:val="0"/>
        <w:snapToGrid w:val="0"/>
        <w:spacing w:line="360" w:lineRule="auto"/>
        <w:ind w:leftChars="0" w:right="0" w:rightChars="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我单位今年在市级部门决算中反映的有项目绩效自评结果（不包括涉密项目）。</w:t>
      </w:r>
    </w:p>
    <w:p w14:paraId="7811F168">
      <w:pPr>
        <w:keepNext w:val="0"/>
        <w:keepLines w:val="0"/>
        <w:widowControl/>
        <w:suppressLineNumbers w:val="0"/>
        <w:snapToGrid w:val="0"/>
        <w:spacing w:line="360" w:lineRule="auto"/>
        <w:ind w:leftChars="0" w:right="0" w:rightChars="0"/>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3个项目绩效自评综述：项目全年预算为1494.96万元，执行数为1494.96万元，完成预算的100%。主要产出和效果：一是建立并完善绩效评价数据库、指标库、标准值库及预算目标管理信息系统，实行动态化管理；二是组织指导部门算绩效管理工作，协调、督促预算部门按规定的要求将绩效目标缟入年度预算，并负责审核及批复工作；三是对绩效评价中发现的问题负责整改落实，并根据信息公开的有关规定在一定范围内进行公开。发现的问题及原因：一是没有注重财政资金使用的经济性、效益性和效率性；二是没有涵盖财政资金项目实施的事前、事中、事后的全过程，没有实现财政资金运行和预算管理效益最大化。下一步改进措施：一是切实提高财政资金使用效益，依法接受监督；二是采取项目跟踪，动态地了解和掌握项目绩效目标实现程度，资金支付情况和项目实施进度，以确保资金的使用效率和绩效目标的顺利的实现。</w:t>
      </w:r>
    </w:p>
    <w:p w14:paraId="50E72ECA">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十、</w:t>
      </w:r>
      <w:r>
        <w:rPr>
          <w:rFonts w:hint="default" w:ascii="黑体" w:hAnsi="宋体" w:eastAsia="黑体" w:cs="黑体"/>
          <w:color w:val="000000"/>
          <w:kern w:val="0"/>
          <w:sz w:val="32"/>
          <w:szCs w:val="32"/>
        </w:rPr>
        <w:t>其他重要事项情况</w:t>
      </w:r>
      <w:r>
        <w:rPr>
          <w:rFonts w:hint="default" w:ascii="黑体" w:hAnsi="宋体" w:eastAsia="黑体" w:cs="黑体"/>
          <w:kern w:val="0"/>
          <w:sz w:val="32"/>
          <w:szCs w:val="32"/>
        </w:rPr>
        <w:t>说明</w:t>
      </w:r>
    </w:p>
    <w:p w14:paraId="6A24DFE9">
      <w:pPr>
        <w:keepNext w:val="0"/>
        <w:keepLines w:val="0"/>
        <w:widowControl/>
        <w:suppressLineNumbers w:val="0"/>
        <w:autoSpaceDE w:val="0"/>
        <w:autoSpaceDN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(一)机关运行经费支出情况。</w:t>
      </w:r>
    </w:p>
    <w:p w14:paraId="1C9DB1FC">
      <w:pPr>
        <w:keepNext w:val="0"/>
        <w:keepLines w:val="0"/>
        <w:widowControl/>
        <w:suppressLineNumbers w:val="0"/>
        <w:autoSpaceDE w:val="0"/>
        <w:autoSpaceDN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2019年度武汉市黄陂区祁家湾街道办事处（汇总）(含参照公务员法管理的事业单位)机关运行经费支出322.47万元。</w:t>
      </w:r>
    </w:p>
    <w:p w14:paraId="4F0FED79">
      <w:pPr>
        <w:keepNext w:val="0"/>
        <w:keepLines w:val="0"/>
        <w:widowControl/>
        <w:suppressLineNumbers w:val="0"/>
        <w:autoSpaceDE w:val="0"/>
        <w:autoSpaceDN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(二)政府采购支出情况。</w:t>
      </w:r>
    </w:p>
    <w:p w14:paraId="7C8862E5">
      <w:pPr>
        <w:keepNext w:val="0"/>
        <w:keepLines w:val="0"/>
        <w:widowControl/>
        <w:suppressLineNumbers w:val="0"/>
        <w:autoSpaceDE w:val="0"/>
        <w:autoSpaceDN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2019年度武汉市黄陂区祁家湾街道办事处（汇总）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w:t>
      </w:r>
    </w:p>
    <w:p w14:paraId="14C3FF33">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(三)国有资产占用情况。</w:t>
      </w:r>
    </w:p>
    <w:p w14:paraId="3B8BA846">
      <w:pPr>
        <w:keepNext w:val="0"/>
        <w:keepLines w:val="0"/>
        <w:widowControl/>
        <w:suppressLineNumbers w:val="0"/>
        <w:snapToGrid w:val="0"/>
        <w:spacing w:before="0" w:beforeAutospacing="0" w:after="0" w:afterAutospacing="0" w:line="360" w:lineRule="auto"/>
        <w:ind w:left="0" w:right="0" w:firstLine="640"/>
        <w:rPr>
          <w:rFonts w:hint="eastAsia" w:ascii="宋体" w:hAnsi="宋体" w:eastAsia="宋体" w:cs="宋体"/>
          <w:kern w:val="0"/>
          <w:sz w:val="32"/>
          <w:szCs w:val="32"/>
        </w:rPr>
      </w:pPr>
      <w:r>
        <w:rPr>
          <w:rFonts w:hint="eastAsia" w:ascii="宋体" w:hAnsi="宋体" w:eastAsia="宋体" w:cs="宋体"/>
          <w:kern w:val="0"/>
          <w:sz w:val="32"/>
          <w:szCs w:val="32"/>
        </w:rPr>
        <w:t>截至2019年12月31日，武汉市黄陂区祁家湾街道办事处（汇总）共有车辆27辆，其中，副部(省)级及以上领导用车0辆，主要领导干部用车2辆，机要通信用车0辆，应急保障用车27辆、执法执勤用车0辆、特种专业技术用车0辆、离退休干部用车0辆、其他用车0</w:t>
      </w:r>
    </w:p>
    <w:p w14:paraId="34AA586F">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kern w:val="0"/>
          <w:sz w:val="32"/>
          <w:szCs w:val="32"/>
        </w:rPr>
      </w:pPr>
      <w:r>
        <w:rPr>
          <w:rFonts w:hint="eastAsia" w:ascii="宋体" w:hAnsi="宋体" w:eastAsia="宋体" w:cs="宋体"/>
          <w:kern w:val="0"/>
          <w:sz w:val="32"/>
          <w:szCs w:val="32"/>
        </w:rPr>
        <w:t>辆，其他用车主要是……；单价50 万元(含)以上通用设备</w:t>
      </w:r>
    </w:p>
    <w:p w14:paraId="4EE83AD3">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kern w:val="0"/>
          <w:sz w:val="32"/>
          <w:szCs w:val="32"/>
        </w:rPr>
      </w:pP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0台(套)，单价100万元(含)以上专用设备0台(套)。</w:t>
      </w:r>
    </w:p>
    <w:p w14:paraId="47FD5013">
      <w:pPr>
        <w:keepNext w:val="0"/>
        <w:keepLines w:val="0"/>
        <w:widowControl/>
        <w:suppressLineNumbers w:val="0"/>
        <w:snapToGrid w:val="0"/>
        <w:spacing w:before="0" w:beforeAutospacing="1" w:after="0" w:afterAutospacing="1" w:line="540" w:lineRule="atLeast"/>
        <w:ind w:left="0" w:right="24"/>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8BC3CB6">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595E4C1">
      <w:pPr>
        <w:pStyle w:val="2"/>
        <w:keepNext w:val="0"/>
        <w:keepLines w:val="0"/>
        <w:widowControl/>
        <w:suppressLineNumbers w:val="0"/>
        <w:jc w:val="center"/>
        <w:rPr>
          <w:rFonts w:hint="eastAsia" w:ascii="宋体" w:hAnsi="宋体" w:eastAsia="宋体" w:cs="宋体"/>
          <w:b/>
          <w:bCs/>
          <w:kern w:val="44"/>
          <w:sz w:val="48"/>
          <w:szCs w:val="48"/>
        </w:rPr>
      </w:pPr>
      <w:r>
        <w:rPr>
          <w:rFonts w:hint="eastAsia" w:ascii="宋体" w:hAnsi="宋体" w:eastAsia="宋体" w:cs="宋体"/>
          <w:b/>
          <w:bCs/>
          <w:kern w:val="44"/>
          <w:sz w:val="48"/>
          <w:szCs w:val="48"/>
        </w:rPr>
        <w:t>第四部分  2019年重点工作完成情况</w:t>
      </w:r>
    </w:p>
    <w:p w14:paraId="5BED1FBE">
      <w:pPr>
        <w:keepNext w:val="0"/>
        <w:keepLines w:val="0"/>
        <w:widowControl/>
        <w:suppressLineNumbers w:val="0"/>
        <w:snapToGrid w:val="0"/>
        <w:spacing w:before="0" w:beforeAutospacing="1" w:after="0" w:afterAutospacing="1" w:line="580" w:lineRule="atLeast"/>
        <w:ind w:left="0" w:right="0" w:firstLine="64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50A96F5">
      <w:pPr>
        <w:keepNext w:val="0"/>
        <w:keepLines w:val="0"/>
        <w:widowControl/>
        <w:suppressLineNumbers w:val="0"/>
        <w:snapToGrid w:val="0"/>
        <w:spacing w:before="0" w:beforeAutospacing="1" w:after="0" w:afterAutospacing="1" w:line="580" w:lineRule="atLeast"/>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一、重点工作事项标题</w:t>
      </w:r>
    </w:p>
    <w:p w14:paraId="2B880727">
      <w:pPr>
        <w:keepNext w:val="0"/>
        <w:keepLines w:val="0"/>
        <w:widowControl w:val="0"/>
        <w:suppressLineNumbers w:val="0"/>
        <w:autoSpaceDE w:val="0"/>
        <w:autoSpaceDN/>
        <w:spacing w:line="360" w:lineRule="auto"/>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1、推进重点工程项目建设</w:t>
      </w:r>
    </w:p>
    <w:p w14:paraId="02A62C0D">
      <w:pPr>
        <w:keepNext w:val="0"/>
        <w:keepLines w:val="0"/>
        <w:widowControl w:val="0"/>
        <w:suppressLineNumbers w:val="0"/>
        <w:autoSpaceDE w:val="0"/>
        <w:autoSpaceDN/>
        <w:spacing w:line="360" w:lineRule="auto"/>
        <w:ind w:left="0" w:firstLine="640" w:firstLineChars="200"/>
        <w:rPr>
          <w:rFonts w:hint="eastAsia" w:ascii="仿宋_GB2312" w:hAnsi="宋体" w:eastAsia="仿宋_GB2312" w:cs="仿宋_GB2312"/>
          <w:b w:val="0"/>
          <w:bCs w:val="0"/>
          <w:kern w:val="0"/>
          <w:sz w:val="32"/>
          <w:szCs w:val="32"/>
        </w:rPr>
      </w:pPr>
      <w:r>
        <w:rPr>
          <w:rFonts w:hint="eastAsia" w:ascii="宋体" w:hAnsi="宋体" w:eastAsia="宋体" w:cs="宋体"/>
          <w:b w:val="0"/>
          <w:bCs w:val="0"/>
          <w:kern w:val="0"/>
          <w:sz w:val="32"/>
          <w:szCs w:val="32"/>
        </w:rPr>
        <w:t>程力专用汽车产业园二期项目153亩场平工程已完成，目前项目已完成投资2.5亿元，正在进行厂房建设，预计年底可完工。继续推进机电工业园配套建设，街道加大协调力度，有序</w:t>
      </w:r>
      <w:r>
        <w:rPr>
          <w:rFonts w:hint="eastAsia" w:ascii="宋体" w:hAnsi="宋体" w:eastAsia="宋体" w:cs="宋体"/>
          <w:kern w:val="0"/>
          <w:sz w:val="32"/>
          <w:szCs w:val="32"/>
        </w:rPr>
        <w:t>推进工业园六号路和给排水工程建设。</w:t>
      </w:r>
    </w:p>
    <w:p w14:paraId="355EF922">
      <w:pPr>
        <w:keepNext w:val="0"/>
        <w:keepLines w:val="0"/>
        <w:widowControl w:val="0"/>
        <w:numPr>
          <w:ilvl w:val="0"/>
          <w:numId w:val="5"/>
        </w:numPr>
        <w:suppressLineNumbers w:val="0"/>
        <w:autoSpaceDE w:val="0"/>
        <w:autoSpaceDN/>
        <w:spacing w:line="360" w:lineRule="auto"/>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加快推进乡村振兴战略实施</w:t>
      </w:r>
    </w:p>
    <w:p w14:paraId="2D1049CF">
      <w:pPr>
        <w:keepNext w:val="0"/>
        <w:keepLines w:val="0"/>
        <w:widowControl w:val="0"/>
        <w:suppressLineNumbers w:val="0"/>
        <w:autoSpaceDE w:val="0"/>
        <w:autoSpaceDN/>
        <w:spacing w:line="580" w:lineRule="exact"/>
        <w:ind w:left="0" w:leftChars="0" w:right="0" w:rightChars="0" w:firstLine="640" w:firstLineChars="200"/>
        <w:jc w:val="both"/>
        <w:rPr>
          <w:rFonts w:hint="eastAsia" w:ascii="宋体" w:hAnsi="宋体" w:eastAsia="宋体" w:cs="宋体"/>
          <w:b/>
          <w:bCs/>
          <w:kern w:val="0"/>
          <w:sz w:val="32"/>
          <w:szCs w:val="32"/>
        </w:rPr>
      </w:pPr>
      <w:r>
        <w:rPr>
          <w:rFonts w:hint="eastAsia" w:ascii="宋体" w:hAnsi="宋体" w:eastAsia="宋体" w:cs="宋体"/>
          <w:b w:val="0"/>
          <w:bCs w:val="0"/>
          <w:kern w:val="0"/>
          <w:sz w:val="32"/>
          <w:szCs w:val="32"/>
        </w:rPr>
        <w:t>建设乡村振兴行政村13个，目前已吸纳资金4.11亿元，预计全年可吸纳资金4.87亿元。在全街建设共享农庄81户，</w:t>
      </w:r>
      <w:r>
        <w:rPr>
          <w:rFonts w:hint="eastAsia" w:ascii="宋体" w:hAnsi="宋体" w:eastAsia="宋体" w:cs="宋体"/>
          <w:kern w:val="0"/>
          <w:sz w:val="32"/>
          <w:szCs w:val="32"/>
        </w:rPr>
        <w:t>完成西新村方斗塆2018年省级美丽乡村创建和2018年西新村、红强村、王棚村市级美丽乡村创建工作；加快推进王棚村元气农场项目。</w:t>
      </w:r>
    </w:p>
    <w:p w14:paraId="14097735">
      <w:pPr>
        <w:keepNext w:val="0"/>
        <w:keepLines w:val="0"/>
        <w:widowControl w:val="0"/>
        <w:numPr>
          <w:ilvl w:val="0"/>
          <w:numId w:val="5"/>
        </w:numPr>
        <w:suppressLineNumbers w:val="0"/>
        <w:autoSpaceDE w:val="0"/>
        <w:autoSpaceDN/>
        <w:spacing w:line="360" w:lineRule="auto"/>
        <w:ind w:left="0" w:leftChars="0" w:firstLine="643" w:firstLineChars="200"/>
        <w:jc w:val="both"/>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稳步推进“四好农村路</w:t>
      </w:r>
      <w:r>
        <w:rPr>
          <w:rFonts w:hint="eastAsia" w:ascii="宋体" w:hAnsi="宋体" w:eastAsia="宋体" w:cs="宋体"/>
          <w:b/>
          <w:bCs/>
          <w:kern w:val="0"/>
          <w:sz w:val="32"/>
          <w:szCs w:val="32"/>
        </w:rPr>
        <w:t>”</w:t>
      </w:r>
      <w:r>
        <w:rPr>
          <w:rFonts w:hint="eastAsia" w:ascii="仿宋_GB2312" w:hAnsi="宋体" w:eastAsia="仿宋_GB2312" w:cs="仿宋_GB2312"/>
          <w:b/>
          <w:bCs/>
          <w:kern w:val="0"/>
          <w:sz w:val="32"/>
          <w:szCs w:val="32"/>
        </w:rPr>
        <w:t>项目</w:t>
      </w:r>
    </w:p>
    <w:p w14:paraId="385C6B92">
      <w:pPr>
        <w:keepNext w:val="0"/>
        <w:keepLines w:val="0"/>
        <w:widowControl w:val="0"/>
        <w:suppressLineNumbers w:val="0"/>
        <w:autoSpaceDE w:val="0"/>
        <w:autoSpaceDN/>
        <w:spacing w:line="580" w:lineRule="exact"/>
        <w:ind w:left="0" w:leftChars="0" w:right="0" w:rightChars="0" w:firstLine="640" w:firstLineChars="200"/>
        <w:jc w:val="both"/>
        <w:rPr>
          <w:rFonts w:hint="eastAsia" w:ascii="宋体" w:hAnsi="宋体" w:eastAsia="宋体" w:cs="宋体"/>
          <w:b/>
          <w:bCs/>
          <w:kern w:val="0"/>
          <w:sz w:val="32"/>
          <w:szCs w:val="32"/>
        </w:rPr>
      </w:pPr>
      <w:r>
        <w:rPr>
          <w:rFonts w:hint="eastAsia" w:ascii="宋体" w:hAnsi="宋体" w:eastAsia="宋体" w:cs="宋体"/>
          <w:kern w:val="0"/>
          <w:sz w:val="32"/>
          <w:szCs w:val="32"/>
        </w:rPr>
        <w:t>稳步推进通</w:t>
      </w:r>
      <w:r>
        <w:rPr>
          <w:rFonts w:hint="eastAsia" w:ascii="宋体" w:hAnsi="宋体" w:eastAsia="宋体" w:cs="宋体"/>
          <w:b w:val="0"/>
          <w:bCs w:val="0"/>
          <w:kern w:val="0"/>
          <w:sz w:val="32"/>
          <w:szCs w:val="32"/>
        </w:rPr>
        <w:t>村公路提档升级工作，2019年完成通村公路土大线示范线提档升级，里程7.786公里，完成一般加宽路13条、总里程30.722公里的提档升级，极大改善村湾通行条件，同时积极配合黄陂区完成省级</w:t>
      </w:r>
      <w:r>
        <w:rPr>
          <w:rFonts w:hint="eastAsia" w:cs="宋体"/>
          <w:b w:val="0"/>
          <w:bCs w:val="0"/>
          <w:kern w:val="0"/>
          <w:sz w:val="32"/>
          <w:szCs w:val="32"/>
          <w:lang w:eastAsia="zh-CN"/>
        </w:rPr>
        <w:t>“</w:t>
      </w:r>
      <w:r>
        <w:rPr>
          <w:rFonts w:hint="eastAsia" w:ascii="宋体" w:hAnsi="宋体" w:eastAsia="宋体" w:cs="宋体"/>
          <w:b w:val="0"/>
          <w:bCs w:val="0"/>
          <w:kern w:val="0"/>
          <w:sz w:val="32"/>
          <w:szCs w:val="32"/>
        </w:rPr>
        <w:t>四好农村路</w:t>
      </w:r>
      <w:r>
        <w:rPr>
          <w:rFonts w:hint="eastAsia" w:cs="宋体"/>
          <w:b w:val="0"/>
          <w:bCs w:val="0"/>
          <w:kern w:val="0"/>
          <w:sz w:val="32"/>
          <w:szCs w:val="32"/>
          <w:lang w:eastAsia="zh-CN"/>
        </w:rPr>
        <w:t>”</w:t>
      </w:r>
      <w:r>
        <w:rPr>
          <w:rFonts w:hint="eastAsia" w:ascii="宋体" w:hAnsi="宋体" w:eastAsia="宋体" w:cs="宋体"/>
          <w:b w:val="0"/>
          <w:bCs w:val="0"/>
          <w:kern w:val="0"/>
          <w:sz w:val="32"/>
          <w:szCs w:val="32"/>
        </w:rPr>
        <w:t>示范区创建工作。</w:t>
      </w:r>
    </w:p>
    <w:p w14:paraId="6BAA4314">
      <w:pPr>
        <w:keepNext w:val="0"/>
        <w:keepLines w:val="0"/>
        <w:widowControl w:val="0"/>
        <w:numPr>
          <w:ilvl w:val="0"/>
          <w:numId w:val="5"/>
        </w:numPr>
        <w:suppressLineNumbers w:val="0"/>
        <w:autoSpaceDE w:val="0"/>
        <w:autoSpaceDN/>
        <w:spacing w:line="360" w:lineRule="auto"/>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积极推进绿色生态城镇建设项目</w:t>
      </w:r>
    </w:p>
    <w:p w14:paraId="71EAB36F">
      <w:pPr>
        <w:keepNext w:val="0"/>
        <w:keepLines w:val="0"/>
        <w:widowControl w:val="0"/>
        <w:suppressLineNumbers w:val="0"/>
        <w:autoSpaceDE w:val="0"/>
        <w:autoSpaceDN/>
        <w:spacing w:line="580" w:lineRule="exact"/>
        <w:ind w:left="0" w:leftChars="0" w:right="0" w:rightChars="0" w:firstLine="643" w:firstLineChars="200"/>
        <w:jc w:val="both"/>
        <w:rPr>
          <w:rFonts w:hint="eastAsia" w:ascii="宋体" w:hAnsi="宋体" w:eastAsia="宋体" w:cs="宋体"/>
          <w:kern w:val="0"/>
          <w:sz w:val="32"/>
          <w:szCs w:val="32"/>
        </w:rPr>
      </w:pPr>
      <w:r>
        <w:rPr>
          <w:rFonts w:hint="eastAsia" w:ascii="宋体" w:hAnsi="宋体" w:eastAsia="宋体" w:cs="宋体"/>
          <w:b/>
          <w:bCs/>
          <w:kern w:val="0"/>
          <w:sz w:val="32"/>
          <w:szCs w:val="32"/>
        </w:rPr>
        <w:t>一是</w:t>
      </w:r>
      <w:r>
        <w:rPr>
          <w:rFonts w:hint="eastAsia" w:ascii="宋体" w:hAnsi="宋体" w:eastAsia="宋体" w:cs="宋体"/>
          <w:b w:val="0"/>
          <w:bCs w:val="0"/>
          <w:kern w:val="0"/>
          <w:sz w:val="32"/>
          <w:szCs w:val="32"/>
        </w:rPr>
        <w:t>继续推进生态宜居宜业小城镇建设，土庙污水处理厂已建成，开始设备安装，祁家湾街生活污水管网二期工程完成。土庙社区一期整治项目、祁家湾街入口环境整治、祁家湾街污水处理厂提档升级项目正在建设中；土庙社区二期整治项目、齐建街二期项目、祁家湾街垃圾中转站项目前期手续完成，争取年底基本完成项目施工。</w:t>
      </w:r>
      <w:r>
        <w:rPr>
          <w:rFonts w:hint="eastAsia" w:ascii="宋体" w:hAnsi="宋体" w:eastAsia="宋体" w:cs="宋体"/>
          <w:b/>
          <w:bCs/>
          <w:kern w:val="0"/>
          <w:sz w:val="32"/>
          <w:szCs w:val="32"/>
        </w:rPr>
        <w:t>二是</w:t>
      </w:r>
      <w:r>
        <w:rPr>
          <w:rFonts w:hint="eastAsia" w:ascii="宋体" w:hAnsi="宋体" w:eastAsia="宋体" w:cs="宋体"/>
          <w:kern w:val="0"/>
          <w:sz w:val="32"/>
          <w:szCs w:val="32"/>
        </w:rPr>
        <w:t>群力村下杨垱、送店村姚家寨、上胡村余杨湾、东风村小童湾4个湾生活污水收集处理试点建设部分已完成，其中群力村下杨垱、送店村姚家寨两个试点已投入使用。</w:t>
      </w:r>
      <w:r>
        <w:rPr>
          <w:rFonts w:hint="eastAsia" w:ascii="宋体" w:hAnsi="宋体" w:eastAsia="宋体" w:cs="宋体"/>
          <w:b/>
          <w:bCs/>
          <w:kern w:val="0"/>
          <w:sz w:val="32"/>
          <w:szCs w:val="32"/>
        </w:rPr>
        <w:t>三是</w:t>
      </w:r>
      <w:r>
        <w:rPr>
          <w:rFonts w:hint="eastAsia" w:ascii="宋体" w:hAnsi="宋体" w:eastAsia="宋体" w:cs="宋体"/>
          <w:kern w:val="0"/>
          <w:sz w:val="32"/>
          <w:szCs w:val="32"/>
        </w:rPr>
        <w:t>推进厕所革命，按照相关要求积极推进农村旱厕和户厕建改工程。2019年共完成户厕9600座、公厕287座改造。</w:t>
      </w:r>
      <w:r>
        <w:rPr>
          <w:rFonts w:hint="eastAsia" w:ascii="宋体" w:hAnsi="宋体" w:eastAsia="宋体" w:cs="宋体"/>
          <w:b/>
          <w:bCs/>
          <w:kern w:val="0"/>
          <w:sz w:val="32"/>
          <w:szCs w:val="32"/>
        </w:rPr>
        <w:t>四是</w:t>
      </w:r>
      <w:r>
        <w:rPr>
          <w:rFonts w:hint="eastAsia" w:ascii="宋体" w:hAnsi="宋体" w:eastAsia="宋体" w:cs="宋体"/>
          <w:kern w:val="0"/>
          <w:sz w:val="32"/>
          <w:szCs w:val="32"/>
        </w:rPr>
        <w:t>完成150个泊车位和150个充电桩的选址，下一步由区文旅投施工建设。</w:t>
      </w:r>
    </w:p>
    <w:p w14:paraId="5B12CEDD">
      <w:pPr>
        <w:keepNext w:val="0"/>
        <w:keepLines w:val="0"/>
        <w:widowControl w:val="0"/>
        <w:numPr>
          <w:ilvl w:val="0"/>
          <w:numId w:val="5"/>
        </w:numPr>
        <w:suppressLineNumbers w:val="0"/>
        <w:autoSpaceDE w:val="0"/>
        <w:autoSpaceDN/>
        <w:spacing w:line="360" w:lineRule="auto"/>
        <w:ind w:left="0" w:leftChars="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协调推进新农村建设</w:t>
      </w:r>
    </w:p>
    <w:p w14:paraId="13C03E00">
      <w:pPr>
        <w:keepNext w:val="0"/>
        <w:keepLines w:val="0"/>
        <w:widowControl w:val="0"/>
        <w:suppressLineNumbers w:val="0"/>
        <w:autoSpaceDE w:val="0"/>
        <w:autoSpaceDN/>
        <w:spacing w:line="580" w:lineRule="exact"/>
        <w:ind w:left="0" w:leftChars="0" w:right="0" w:rightChars="0"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谦森岛第二批“增减挂钩”项目5个集中还建区，夏王、大曹村还建房已分房，康都、连岗村还建房已建成，陈太村还建房预计年底建成。</w:t>
      </w:r>
    </w:p>
    <w:p w14:paraId="0276ADD5">
      <w:pPr>
        <w:keepNext w:val="0"/>
        <w:keepLines w:val="0"/>
        <w:widowControl w:val="0"/>
        <w:numPr>
          <w:ilvl w:val="0"/>
          <w:numId w:val="5"/>
        </w:numPr>
        <w:suppressLineNumbers w:val="0"/>
        <w:autoSpaceDE w:val="0"/>
        <w:autoSpaceDN/>
        <w:spacing w:line="360" w:lineRule="auto"/>
        <w:ind w:left="0" w:leftChars="0" w:right="0" w:righ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稳步推进区政府投资计划项目实施</w:t>
      </w:r>
    </w:p>
    <w:p w14:paraId="4A1879DA">
      <w:pPr>
        <w:keepNext w:val="0"/>
        <w:keepLines w:val="0"/>
        <w:widowControl w:val="0"/>
        <w:suppressLineNumbers w:val="0"/>
        <w:autoSpaceDE w:val="0"/>
        <w:autoSpaceDN/>
        <w:spacing w:line="580" w:lineRule="exact"/>
        <w:ind w:left="0" w:leftChars="0" w:right="0" w:rightChars="0" w:firstLine="640" w:firstLineChars="200"/>
        <w:jc w:val="both"/>
        <w:rPr>
          <w:rFonts w:hint="eastAsia" w:ascii="仿宋_GB2312" w:hAnsi="宋体" w:eastAsia="仿宋_GB2312" w:cs="仿宋_GB2312"/>
          <w:b w:val="0"/>
          <w:bCs w:val="0"/>
          <w:kern w:val="0"/>
          <w:sz w:val="32"/>
          <w:szCs w:val="32"/>
        </w:rPr>
      </w:pPr>
      <w:r>
        <w:rPr>
          <w:rFonts w:hint="eastAsia" w:ascii="宋体" w:hAnsi="宋体" w:eastAsia="宋体" w:cs="宋体"/>
          <w:b w:val="0"/>
          <w:bCs w:val="0"/>
          <w:kern w:val="0"/>
          <w:sz w:val="32"/>
          <w:szCs w:val="32"/>
        </w:rPr>
        <w:t>10个党群服务中心提档升级项目工程正在办理用地手续，预计12月份可完成建设；农村自来水管网25公里改造项目正在进行招投标阶段，预计年底可基本完成改造。</w:t>
      </w:r>
    </w:p>
    <w:p w14:paraId="7DD1FB42">
      <w:pPr>
        <w:keepNext w:val="0"/>
        <w:keepLines w:val="0"/>
        <w:widowControl w:val="0"/>
        <w:numPr>
          <w:ilvl w:val="0"/>
          <w:numId w:val="5"/>
        </w:numPr>
        <w:suppressLineNumbers w:val="0"/>
        <w:autoSpaceDE w:val="0"/>
        <w:autoSpaceDN/>
        <w:spacing w:line="360" w:lineRule="auto"/>
        <w:ind w:left="0" w:leftChars="0" w:right="0" w:righ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加快重点集镇旧城综合改造</w:t>
      </w:r>
    </w:p>
    <w:p w14:paraId="1C76599A">
      <w:pPr>
        <w:keepNext w:val="0"/>
        <w:keepLines w:val="0"/>
        <w:widowControl w:val="0"/>
        <w:suppressLineNumbers w:val="0"/>
        <w:autoSpaceDE w:val="0"/>
        <w:autoSpaceDN/>
        <w:spacing w:line="580" w:lineRule="exact"/>
        <w:ind w:left="0" w:leftChars="0" w:right="0" w:rightChars="0" w:firstLine="640" w:firstLineChars="200"/>
        <w:jc w:val="both"/>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雷家凼城中村改造征收准备已完成90%，朝前社区中排粮油区域旧城改造正在进行征收申请，预计年底可完成征收准备。</w:t>
      </w:r>
    </w:p>
    <w:p w14:paraId="38C411B4">
      <w:pPr>
        <w:keepNext w:val="0"/>
        <w:keepLines w:val="0"/>
        <w:widowControl/>
        <w:suppressLineNumbers w:val="0"/>
        <w:snapToGrid w:val="0"/>
        <w:spacing w:before="0" w:beforeAutospacing="1" w:after="0" w:afterAutospacing="1" w:line="580" w:lineRule="atLeast"/>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 xml:space="preserve"> </w:t>
      </w:r>
    </w:p>
    <w:p w14:paraId="6CD77F72">
      <w:pPr>
        <w:keepNext w:val="0"/>
        <w:keepLines w:val="0"/>
        <w:widowControl/>
        <w:suppressLineNumbers w:val="0"/>
        <w:snapToGrid w:val="0"/>
        <w:spacing w:before="0" w:beforeAutospacing="1" w:after="0" w:afterAutospacing="1" w:line="580" w:lineRule="atLeast"/>
        <w:ind w:left="0" w:right="0" w:firstLine="640"/>
        <w:rPr>
          <w:rFonts w:hint="eastAsia" w:ascii="宋体" w:hAnsi="宋体" w:eastAsia="宋体" w:cs="宋体"/>
          <w:kern w:val="0"/>
          <w:sz w:val="24"/>
          <w:szCs w:val="24"/>
        </w:rPr>
      </w:pPr>
      <w:r>
        <w:rPr>
          <w:rFonts w:hint="default" w:ascii="黑体" w:hAnsi="宋体" w:eastAsia="黑体" w:cs="黑体"/>
          <w:kern w:val="0"/>
          <w:sz w:val="32"/>
          <w:szCs w:val="32"/>
        </w:rPr>
        <w:t>二、重点工作事项标题</w:t>
      </w:r>
    </w:p>
    <w:tbl>
      <w:tblPr>
        <w:tblStyle w:val="12"/>
        <w:tblW w:w="835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020"/>
        <w:gridCol w:w="2109"/>
        <w:gridCol w:w="2937"/>
        <w:gridCol w:w="2291"/>
      </w:tblGrid>
      <w:tr w14:paraId="1CD4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026"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52738DD0">
            <w:pPr>
              <w:keepNext w:val="0"/>
              <w:keepLines w:val="0"/>
              <w:widowControl/>
              <w:suppressLineNumbers w:val="0"/>
              <w:snapToGrid w:val="0"/>
              <w:spacing w:before="0" w:beforeAutospacing="1" w:after="0" w:afterAutospacing="1" w:line="580" w:lineRule="atLeast"/>
              <w:ind w:left="0" w:right="0"/>
              <w:jc w:val="center"/>
              <w:rPr>
                <w:rFonts w:hint="eastAsia" w:ascii="宋体" w:hAnsi="宋体" w:eastAsia="宋体" w:cs="宋体"/>
                <w:kern w:val="0"/>
                <w:sz w:val="24"/>
                <w:szCs w:val="24"/>
                <w:bdr w:val="none" w:color="auto" w:sz="0" w:space="0"/>
              </w:rPr>
            </w:pPr>
            <w:r>
              <w:rPr>
                <w:rFonts w:hint="default" w:ascii="黑体" w:hAnsi="宋体" w:eastAsia="黑体" w:cs="黑体"/>
                <w:kern w:val="0"/>
                <w:sz w:val="32"/>
                <w:szCs w:val="32"/>
                <w:bdr w:val="none" w:color="auto" w:sz="0" w:space="0"/>
              </w:rPr>
              <w:t>序号</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480A1688">
            <w:pPr>
              <w:keepNext w:val="0"/>
              <w:keepLines w:val="0"/>
              <w:widowControl/>
              <w:suppressLineNumbers w:val="0"/>
              <w:snapToGrid w:val="0"/>
              <w:spacing w:before="0" w:beforeAutospacing="1" w:after="0" w:afterAutospacing="1" w:line="580" w:lineRule="atLeast"/>
              <w:ind w:left="0" w:right="0"/>
              <w:jc w:val="center"/>
              <w:rPr>
                <w:rFonts w:hint="eastAsia" w:ascii="宋体" w:hAnsi="宋体" w:eastAsia="宋体" w:cs="宋体"/>
                <w:kern w:val="0"/>
                <w:sz w:val="24"/>
                <w:szCs w:val="24"/>
                <w:bdr w:val="none" w:color="auto" w:sz="0" w:space="0"/>
              </w:rPr>
            </w:pPr>
            <w:r>
              <w:rPr>
                <w:rFonts w:hint="eastAsia" w:ascii="仿宋_GB2312" w:hAnsi="宋体" w:eastAsia="仿宋_GB2312" w:cs="仿宋_GB2312"/>
                <w:kern w:val="0"/>
                <w:sz w:val="32"/>
                <w:szCs w:val="32"/>
                <w:bdr w:val="none" w:color="auto" w:sz="0" w:space="0"/>
              </w:rPr>
              <w:t>重要事项</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40C04918">
            <w:pPr>
              <w:keepNext w:val="0"/>
              <w:keepLines w:val="0"/>
              <w:widowControl/>
              <w:suppressLineNumbers w:val="0"/>
              <w:snapToGrid w:val="0"/>
              <w:spacing w:before="0" w:beforeAutospacing="1" w:after="0" w:afterAutospacing="1" w:line="580" w:lineRule="atLeast"/>
              <w:ind w:left="0" w:right="0"/>
              <w:jc w:val="center"/>
              <w:rPr>
                <w:rFonts w:hint="eastAsia" w:ascii="宋体" w:hAnsi="宋体" w:eastAsia="宋体" w:cs="宋体"/>
                <w:kern w:val="0"/>
                <w:sz w:val="24"/>
                <w:szCs w:val="24"/>
                <w:bdr w:val="none" w:color="auto" w:sz="0" w:space="0"/>
              </w:rPr>
            </w:pPr>
            <w:r>
              <w:rPr>
                <w:rFonts w:hint="eastAsia" w:ascii="仿宋_GB2312" w:hAnsi="宋体" w:eastAsia="仿宋_GB2312" w:cs="仿宋_GB2312"/>
                <w:kern w:val="0"/>
                <w:sz w:val="32"/>
                <w:szCs w:val="32"/>
                <w:bdr w:val="none" w:color="auto" w:sz="0" w:space="0"/>
              </w:rPr>
              <w:t>工作内容及目标</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60BD6984">
            <w:pPr>
              <w:keepNext w:val="0"/>
              <w:keepLines w:val="0"/>
              <w:widowControl/>
              <w:suppressLineNumbers w:val="0"/>
              <w:snapToGrid w:val="0"/>
              <w:spacing w:before="0" w:beforeAutospacing="1" w:after="0" w:afterAutospacing="1" w:line="580" w:lineRule="atLeast"/>
              <w:ind w:left="0" w:right="0"/>
              <w:jc w:val="center"/>
              <w:rPr>
                <w:rFonts w:hint="eastAsia" w:ascii="宋体" w:hAnsi="宋体" w:eastAsia="宋体" w:cs="宋体"/>
                <w:kern w:val="0"/>
                <w:sz w:val="24"/>
                <w:szCs w:val="24"/>
                <w:bdr w:val="none" w:color="auto" w:sz="0" w:space="0"/>
              </w:rPr>
            </w:pPr>
            <w:r>
              <w:rPr>
                <w:rFonts w:hint="eastAsia" w:ascii="仿宋_GB2312" w:hAnsi="宋体" w:eastAsia="仿宋_GB2312" w:cs="仿宋_GB2312"/>
                <w:kern w:val="0"/>
                <w:sz w:val="32"/>
                <w:szCs w:val="32"/>
                <w:bdr w:val="none" w:color="auto" w:sz="0" w:space="0"/>
              </w:rPr>
              <w:t>完成情况</w:t>
            </w:r>
          </w:p>
        </w:tc>
      </w:tr>
      <w:tr w14:paraId="4FE7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3C67AFDD">
            <w:pPr>
              <w:keepNext w:val="0"/>
              <w:keepLines w:val="0"/>
              <w:widowControl/>
              <w:suppressLineNumbers w:val="0"/>
              <w:snapToGrid w:val="0"/>
              <w:spacing w:before="0" w:beforeAutospacing="1" w:after="0" w:afterAutospacing="1" w:line="580" w:lineRule="atLeast"/>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1</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7782F5D8">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kern w:val="0"/>
                <w:sz w:val="24"/>
                <w:szCs w:val="24"/>
                <w:bdr w:val="none" w:color="auto" w:sz="0" w:space="0"/>
              </w:rPr>
              <w:t>推进重点工程项目建设</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204A3240">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1、程力专用汽车产业园二期项目；2、机电工业园配套建设；</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17D30199">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kern w:val="0"/>
                <w:sz w:val="24"/>
                <w:szCs w:val="24"/>
                <w:bdr w:val="none" w:color="auto" w:sz="0" w:space="0"/>
              </w:rPr>
              <w:t>1、程力二期正在进行厂房建设；2、有序推进工业园六号路和给排水工程建设。</w:t>
            </w:r>
          </w:p>
        </w:tc>
      </w:tr>
      <w:tr w14:paraId="1CD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065F72D6">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2</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4DC0D4CB">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加快推进乡村振兴战略实施</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7C5F66AF">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1、</w:t>
            </w:r>
            <w:r>
              <w:rPr>
                <w:rFonts w:hint="eastAsia" w:ascii="仿宋_GB2312" w:hAnsi="宋体" w:eastAsia="仿宋_GB2312" w:cs="仿宋_GB2312"/>
                <w:b w:val="0"/>
                <w:bCs w:val="0"/>
                <w:kern w:val="0"/>
                <w:sz w:val="24"/>
                <w:szCs w:val="24"/>
                <w:bdr w:val="none" w:color="auto" w:sz="0" w:space="0"/>
              </w:rPr>
              <w:t>建设乡村振兴行政村；2、建设共享农庄；3、</w:t>
            </w:r>
            <w:r>
              <w:rPr>
                <w:rFonts w:hint="eastAsia" w:ascii="仿宋_GB2312" w:hAnsi="宋体" w:eastAsia="仿宋_GB2312" w:cs="仿宋_GB2312"/>
                <w:kern w:val="0"/>
                <w:sz w:val="24"/>
                <w:szCs w:val="24"/>
                <w:bdr w:val="none" w:color="auto" w:sz="0" w:space="0"/>
              </w:rPr>
              <w:t>完成西新村方斗塆2018年省级美丽乡村创建和2018年西新村、红强村、王棚村市级美丽乡村创建工作；4、推进王棚村元气农场项目</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3F2F8159">
            <w:pPr>
              <w:keepNext w:val="0"/>
              <w:keepLines w:val="0"/>
              <w:widowControl w:val="0"/>
              <w:suppressLineNumbers w:val="0"/>
              <w:autoSpaceDE w:val="0"/>
              <w:autoSpaceDN/>
              <w:ind w:left="0" w:firstLine="480" w:firstLineChars="20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建设乡村振兴行政村13个；在全街建设共享农庄81户；</w:t>
            </w:r>
            <w:r>
              <w:rPr>
                <w:rFonts w:hint="eastAsia" w:ascii="仿宋_GB2312" w:hAnsi="宋体" w:eastAsia="仿宋_GB2312" w:cs="仿宋_GB2312"/>
                <w:kern w:val="0"/>
                <w:sz w:val="24"/>
                <w:szCs w:val="24"/>
                <w:bdr w:val="none" w:color="auto" w:sz="0" w:space="0"/>
              </w:rPr>
              <w:t>完成西新村方斗塆2018年省级美丽乡村创建和2018年西新村、红强村、王棚村市级美丽乡村创建工作；加快推进王棚村元气农场项目。</w:t>
            </w:r>
          </w:p>
        </w:tc>
      </w:tr>
      <w:tr w14:paraId="6616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37AE1C1C">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3</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740DB5AE">
            <w:pPr>
              <w:keepNext w:val="0"/>
              <w:keepLines w:val="0"/>
              <w:widowControl/>
              <w:suppressLineNumbers w:val="0"/>
              <w:snapToGrid w:val="0"/>
              <w:spacing w:before="0" w:beforeAutospacing="1" w:after="0" w:afterAutospacing="1"/>
              <w:ind w:left="0" w:right="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稳步推进</w:t>
            </w:r>
            <w:r>
              <w:rPr>
                <w:rFonts w:hint="eastAsia" w:ascii="宋体" w:hAnsi="宋体" w:eastAsia="宋体" w:cs="宋体"/>
                <w:b w:val="0"/>
                <w:bCs w:val="0"/>
                <w:kern w:val="0"/>
                <w:sz w:val="24"/>
                <w:szCs w:val="24"/>
                <w:bdr w:val="none" w:color="auto" w:sz="0" w:space="0"/>
              </w:rPr>
              <w:t>“</w:t>
            </w:r>
            <w:r>
              <w:rPr>
                <w:rFonts w:hint="eastAsia" w:ascii="仿宋_GB2312" w:hAnsi="宋体" w:eastAsia="仿宋_GB2312" w:cs="仿宋_GB2312"/>
                <w:b w:val="0"/>
                <w:bCs w:val="0"/>
                <w:kern w:val="0"/>
                <w:sz w:val="24"/>
                <w:szCs w:val="24"/>
                <w:bdr w:val="none" w:color="auto" w:sz="0" w:space="0"/>
              </w:rPr>
              <w:t>四好农村路</w:t>
            </w:r>
            <w:r>
              <w:rPr>
                <w:rFonts w:hint="eastAsia" w:ascii="宋体" w:hAnsi="宋体" w:eastAsia="宋体" w:cs="宋体"/>
                <w:b w:val="0"/>
                <w:bCs w:val="0"/>
                <w:kern w:val="0"/>
                <w:sz w:val="24"/>
                <w:szCs w:val="24"/>
                <w:bdr w:val="none" w:color="auto" w:sz="0" w:space="0"/>
              </w:rPr>
              <w:t>”</w:t>
            </w:r>
            <w:r>
              <w:rPr>
                <w:rFonts w:hint="eastAsia" w:ascii="仿宋_GB2312" w:hAnsi="宋体" w:eastAsia="仿宋_GB2312" w:cs="仿宋_GB2312"/>
                <w:b w:val="0"/>
                <w:bCs w:val="0"/>
                <w:kern w:val="0"/>
                <w:sz w:val="24"/>
                <w:szCs w:val="24"/>
                <w:bdr w:val="none" w:color="auto" w:sz="0" w:space="0"/>
              </w:rPr>
              <w:t>项目</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1A674715">
            <w:pPr>
              <w:keepNext w:val="0"/>
              <w:keepLines w:val="0"/>
              <w:widowControl/>
              <w:suppressLineNumbers w:val="0"/>
              <w:jc w:val="both"/>
              <w:rPr>
                <w:rFonts w:hint="eastAsia" w:ascii="仿宋_GB2312" w:hAnsi="宋体" w:eastAsia="仿宋_GB2312" w:cs="仿宋_GB2312"/>
                <w:kern w:val="0"/>
                <w:sz w:val="24"/>
                <w:szCs w:val="24"/>
                <w:bdr w:val="none" w:color="auto" w:sz="0" w:space="0"/>
              </w:rPr>
            </w:pPr>
            <w:r>
              <w:rPr>
                <w:rFonts w:hint="eastAsia" w:ascii="仿宋_GB2312" w:hAnsi="宋体" w:eastAsia="仿宋_GB2312" w:cs="仿宋_GB2312"/>
                <w:kern w:val="0"/>
                <w:sz w:val="24"/>
                <w:szCs w:val="24"/>
                <w:bdr w:val="none" w:color="auto" w:sz="0" w:space="0"/>
              </w:rPr>
              <w:t>推进通村公路提档升级工作</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7D1DA591">
            <w:pPr>
              <w:keepNext w:val="0"/>
              <w:keepLines w:val="0"/>
              <w:widowControl/>
              <w:suppressLineNumbers w:val="0"/>
              <w:jc w:val="both"/>
              <w:rPr>
                <w:rFonts w:hint="eastAsia" w:ascii="宋体" w:hAnsi="宋体" w:eastAsia="宋体" w:cs="宋体"/>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完成通村公路土大线示范线提档升级，里程7.786公里，完成一般加宽路13条、总里程30.722公里的提档升级。</w:t>
            </w:r>
          </w:p>
        </w:tc>
      </w:tr>
      <w:tr w14:paraId="2BAE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85"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2C8AB753">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4</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2BD390D6">
            <w:pPr>
              <w:keepNext w:val="0"/>
              <w:keepLines w:val="0"/>
              <w:widowControl/>
              <w:suppressLineNumbers w:val="0"/>
              <w:snapToGrid w:val="0"/>
              <w:spacing w:before="0" w:beforeAutospacing="1" w:after="0" w:afterAutospacing="1"/>
              <w:ind w:left="0" w:right="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积极推进绿色生态城镇建设项目</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64F4EC47">
            <w:pPr>
              <w:keepNext w:val="0"/>
              <w:keepLines w:val="0"/>
              <w:widowControl/>
              <w:suppressLineNumbers w:val="0"/>
              <w:jc w:val="both"/>
              <w:rPr>
                <w:rFonts w:hint="eastAsia" w:ascii="仿宋_GB2312" w:hAnsi="宋体" w:eastAsia="仿宋_GB2312" w:cs="仿宋_GB2312"/>
                <w:kern w:val="0"/>
                <w:sz w:val="24"/>
                <w:szCs w:val="24"/>
                <w:bdr w:val="none" w:color="auto" w:sz="0" w:space="0"/>
              </w:rPr>
            </w:pPr>
            <w:r>
              <w:rPr>
                <w:rFonts w:hint="eastAsia" w:ascii="仿宋_GB2312" w:hAnsi="宋体" w:eastAsia="仿宋_GB2312" w:cs="仿宋_GB2312"/>
                <w:kern w:val="0"/>
                <w:sz w:val="24"/>
                <w:szCs w:val="24"/>
                <w:bdr w:val="none" w:color="auto" w:sz="0" w:space="0"/>
              </w:rPr>
              <w:t>1、</w:t>
            </w:r>
            <w:r>
              <w:rPr>
                <w:rFonts w:hint="eastAsia" w:ascii="仿宋_GB2312" w:hAnsi="宋体" w:eastAsia="仿宋_GB2312" w:cs="仿宋_GB2312"/>
                <w:b w:val="0"/>
                <w:bCs w:val="0"/>
                <w:kern w:val="0"/>
                <w:sz w:val="24"/>
                <w:szCs w:val="24"/>
                <w:bdr w:val="none" w:color="auto" w:sz="0" w:space="0"/>
              </w:rPr>
              <w:t>生态宜居宜业小城镇建设；2、</w:t>
            </w:r>
            <w:r>
              <w:rPr>
                <w:rFonts w:hint="eastAsia" w:ascii="仿宋_GB2312" w:hAnsi="宋体" w:eastAsia="仿宋_GB2312" w:cs="仿宋_GB2312"/>
                <w:kern w:val="0"/>
                <w:sz w:val="24"/>
                <w:szCs w:val="24"/>
                <w:bdr w:val="none" w:color="auto" w:sz="0" w:space="0"/>
              </w:rPr>
              <w:t>生活污水收集处理试点建设；3、推进厕所革命；4、充电桩的选址及建设</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36755932">
            <w:pPr>
              <w:keepNext w:val="0"/>
              <w:keepLines w:val="0"/>
              <w:widowControl w:val="0"/>
              <w:suppressLineNumbers w:val="0"/>
              <w:autoSpaceDE w:val="0"/>
              <w:autoSpaceDN/>
              <w:ind w:left="0" w:firstLine="482" w:firstLineChars="20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bCs/>
                <w:kern w:val="0"/>
                <w:sz w:val="24"/>
                <w:szCs w:val="24"/>
                <w:bdr w:val="none" w:color="auto" w:sz="0" w:space="0"/>
              </w:rPr>
              <w:t>1、</w:t>
            </w:r>
            <w:r>
              <w:rPr>
                <w:rFonts w:hint="eastAsia" w:ascii="仿宋_GB2312" w:hAnsi="宋体" w:eastAsia="仿宋_GB2312" w:cs="仿宋_GB2312"/>
                <w:b w:val="0"/>
                <w:bCs w:val="0"/>
                <w:kern w:val="0"/>
                <w:sz w:val="24"/>
                <w:szCs w:val="24"/>
                <w:bdr w:val="none" w:color="auto" w:sz="0" w:space="0"/>
              </w:rPr>
              <w:t>土庙污水处理厂已建成，祁家湾街生活污水管网二期工程完成。土庙社区一期整治项目、祁家湾街入口环境整治、祁家湾街污水处理厂提档升级项目正在建设中；土庙社区二期整治项目、齐建街二期项目、祁家湾街垃圾中转站项目前期手续完成，争取年底基本完成项目施工。2、</w:t>
            </w:r>
            <w:r>
              <w:rPr>
                <w:rFonts w:hint="eastAsia" w:ascii="仿宋_GB2312" w:hAnsi="宋体" w:eastAsia="仿宋_GB2312" w:cs="仿宋_GB2312"/>
                <w:kern w:val="0"/>
                <w:sz w:val="24"/>
                <w:szCs w:val="24"/>
                <w:bdr w:val="none" w:color="auto" w:sz="0" w:space="0"/>
              </w:rPr>
              <w:t>4个湾生活污水收集处理试点建设部分已完成，其中两个试点已投入使用。</w:t>
            </w:r>
            <w:r>
              <w:rPr>
                <w:rFonts w:hint="eastAsia" w:ascii="仿宋_GB2312" w:hAnsi="宋体" w:eastAsia="仿宋_GB2312" w:cs="仿宋_GB2312"/>
                <w:b w:val="0"/>
                <w:bCs w:val="0"/>
                <w:kern w:val="0"/>
                <w:sz w:val="24"/>
                <w:szCs w:val="24"/>
                <w:bdr w:val="none" w:color="auto" w:sz="0" w:space="0"/>
              </w:rPr>
              <w:t>3、</w:t>
            </w:r>
            <w:r>
              <w:rPr>
                <w:rFonts w:hint="eastAsia" w:ascii="仿宋_GB2312" w:hAnsi="宋体" w:eastAsia="仿宋_GB2312" w:cs="仿宋_GB2312"/>
                <w:kern w:val="0"/>
                <w:sz w:val="24"/>
                <w:szCs w:val="24"/>
                <w:bdr w:val="none" w:color="auto" w:sz="0" w:space="0"/>
              </w:rPr>
              <w:t>2019年共完成户厕9600座、公厕287座改造。4、完成150个泊车位和150个充电桩的选址。</w:t>
            </w:r>
          </w:p>
        </w:tc>
      </w:tr>
      <w:tr w14:paraId="7189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4D0984BC">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5</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4B080A09">
            <w:pPr>
              <w:keepNext w:val="0"/>
              <w:keepLines w:val="0"/>
              <w:widowControl/>
              <w:suppressLineNumbers w:val="0"/>
              <w:snapToGrid w:val="0"/>
              <w:spacing w:before="0" w:beforeAutospacing="1" w:after="0" w:afterAutospacing="1"/>
              <w:ind w:left="0" w:right="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协调推进新农村建设</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341FDA1C">
            <w:pPr>
              <w:keepNext w:val="0"/>
              <w:keepLines w:val="0"/>
              <w:widowControl/>
              <w:suppressLineNumbers w:val="0"/>
              <w:jc w:val="both"/>
              <w:rPr>
                <w:rFonts w:hint="eastAsia" w:ascii="仿宋_GB2312" w:hAnsi="宋体" w:eastAsia="仿宋_GB2312" w:cs="仿宋_GB2312"/>
                <w:kern w:val="0"/>
                <w:sz w:val="24"/>
                <w:szCs w:val="24"/>
                <w:bdr w:val="none" w:color="auto" w:sz="0" w:space="0"/>
              </w:rPr>
            </w:pPr>
            <w:r>
              <w:rPr>
                <w:rFonts w:hint="eastAsia" w:ascii="仿宋_GB2312" w:hAnsi="宋体" w:eastAsia="仿宋_GB2312" w:cs="仿宋_GB2312"/>
                <w:kern w:val="0"/>
                <w:sz w:val="24"/>
                <w:szCs w:val="24"/>
                <w:bdr w:val="none" w:color="auto" w:sz="0" w:space="0"/>
              </w:rPr>
              <w:t>谦森岛第二批</w:t>
            </w:r>
            <w:r>
              <w:rPr>
                <w:rFonts w:hint="eastAsia" w:ascii="宋体" w:hAnsi="宋体" w:eastAsia="宋体" w:cs="宋体"/>
                <w:kern w:val="0"/>
                <w:sz w:val="24"/>
                <w:szCs w:val="24"/>
                <w:bdr w:val="none" w:color="auto" w:sz="0" w:space="0"/>
              </w:rPr>
              <w:t>“</w:t>
            </w:r>
            <w:r>
              <w:rPr>
                <w:rFonts w:hint="eastAsia" w:ascii="仿宋_GB2312" w:hAnsi="宋体" w:eastAsia="仿宋_GB2312" w:cs="仿宋_GB2312"/>
                <w:kern w:val="0"/>
                <w:sz w:val="24"/>
                <w:szCs w:val="24"/>
                <w:bdr w:val="none" w:color="auto" w:sz="0" w:space="0"/>
              </w:rPr>
              <w:t>增减挂钩</w:t>
            </w:r>
            <w:r>
              <w:rPr>
                <w:rFonts w:hint="eastAsia" w:ascii="宋体" w:hAnsi="宋体" w:eastAsia="宋体" w:cs="宋体"/>
                <w:kern w:val="0"/>
                <w:sz w:val="24"/>
                <w:szCs w:val="24"/>
                <w:bdr w:val="none" w:color="auto" w:sz="0" w:space="0"/>
              </w:rPr>
              <w:t>”</w:t>
            </w:r>
            <w:r>
              <w:rPr>
                <w:rFonts w:hint="eastAsia" w:ascii="仿宋_GB2312" w:hAnsi="宋体" w:eastAsia="仿宋_GB2312" w:cs="仿宋_GB2312"/>
                <w:kern w:val="0"/>
                <w:sz w:val="24"/>
                <w:szCs w:val="24"/>
                <w:bdr w:val="none" w:color="auto" w:sz="0" w:space="0"/>
              </w:rPr>
              <w:t>项目</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0064B9C9">
            <w:pPr>
              <w:keepNext w:val="0"/>
              <w:keepLines w:val="0"/>
              <w:widowControl/>
              <w:suppressLineNumbers w:val="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5个集中还建区，4个建成，1个进入收尾阶段。</w:t>
            </w:r>
          </w:p>
        </w:tc>
      </w:tr>
      <w:tr w14:paraId="792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85"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4B711F0A">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6</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5CA80AC7">
            <w:pPr>
              <w:keepNext w:val="0"/>
              <w:keepLines w:val="0"/>
              <w:widowControl/>
              <w:suppressLineNumbers w:val="0"/>
              <w:snapToGrid w:val="0"/>
              <w:spacing w:before="0" w:beforeAutospacing="1" w:after="0" w:afterAutospacing="1"/>
              <w:ind w:left="0" w:right="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稳步推进区政府投资计划项目实施</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39921DD6">
            <w:pPr>
              <w:keepNext w:val="0"/>
              <w:keepLines w:val="0"/>
              <w:widowControl/>
              <w:suppressLineNumbers w:val="0"/>
              <w:jc w:val="both"/>
              <w:rPr>
                <w:rFonts w:hint="eastAsia" w:ascii="仿宋_GB2312" w:hAnsi="宋体" w:eastAsia="仿宋_GB2312" w:cs="仿宋_GB2312"/>
                <w:kern w:val="0"/>
                <w:sz w:val="24"/>
                <w:szCs w:val="24"/>
                <w:bdr w:val="none" w:color="auto" w:sz="0" w:space="0"/>
              </w:rPr>
            </w:pPr>
            <w:r>
              <w:rPr>
                <w:rFonts w:hint="eastAsia" w:ascii="仿宋_GB2312" w:hAnsi="宋体" w:eastAsia="仿宋_GB2312" w:cs="仿宋_GB2312"/>
                <w:kern w:val="0"/>
                <w:sz w:val="24"/>
                <w:szCs w:val="24"/>
                <w:bdr w:val="none" w:color="auto" w:sz="0" w:space="0"/>
              </w:rPr>
              <w:t>1、党群服务中心建设；2、自来水管网改造；</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11DDF33F">
            <w:pPr>
              <w:keepNext w:val="0"/>
              <w:keepLines w:val="0"/>
              <w:widowControl/>
              <w:suppressLineNumbers w:val="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1、10个党群服务中心提档升级项目工程正在办理用地手续；2、农村自来水管网25公里改造项目正在进行招投标阶段。</w:t>
            </w:r>
          </w:p>
        </w:tc>
      </w:tr>
      <w:tr w14:paraId="0FDA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85" w:hRule="atLeast"/>
        </w:trPr>
        <w:tc>
          <w:tcPr>
            <w:tcW w:w="102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14:paraId="0DB18C37">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7</w:t>
            </w:r>
          </w:p>
        </w:tc>
        <w:tc>
          <w:tcPr>
            <w:tcW w:w="2109"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5D1C8F64">
            <w:pPr>
              <w:keepNext w:val="0"/>
              <w:keepLines w:val="0"/>
              <w:widowControl/>
              <w:suppressLineNumbers w:val="0"/>
              <w:snapToGrid w:val="0"/>
              <w:spacing w:before="0" w:beforeAutospacing="1" w:after="0" w:afterAutospacing="1"/>
              <w:ind w:left="0" w:right="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加快重点集镇旧城综合改造</w:t>
            </w:r>
          </w:p>
        </w:tc>
        <w:tc>
          <w:tcPr>
            <w:tcW w:w="2937"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6CE27D05">
            <w:pPr>
              <w:keepNext w:val="0"/>
              <w:keepLines w:val="0"/>
              <w:widowControl/>
              <w:suppressLineNumbers w:val="0"/>
              <w:jc w:val="both"/>
              <w:rPr>
                <w:rFonts w:hint="eastAsia" w:ascii="仿宋_GB2312" w:hAnsi="宋体" w:eastAsia="仿宋_GB2312" w:cs="仿宋_GB2312"/>
                <w:kern w:val="0"/>
                <w:sz w:val="24"/>
                <w:szCs w:val="24"/>
                <w:bdr w:val="none" w:color="auto" w:sz="0" w:space="0"/>
              </w:rPr>
            </w:pPr>
            <w:r>
              <w:rPr>
                <w:rFonts w:hint="eastAsia" w:ascii="仿宋_GB2312" w:hAnsi="宋体" w:eastAsia="仿宋_GB2312" w:cs="仿宋_GB2312"/>
                <w:kern w:val="0"/>
                <w:sz w:val="24"/>
                <w:szCs w:val="24"/>
                <w:bdr w:val="none" w:color="auto" w:sz="0" w:space="0"/>
              </w:rPr>
              <w:t>城中村改造</w:t>
            </w:r>
          </w:p>
        </w:tc>
        <w:tc>
          <w:tcPr>
            <w:tcW w:w="2291" w:type="dxa"/>
            <w:tcBorders>
              <w:top w:val="single" w:color="auto" w:sz="4" w:space="0"/>
              <w:left w:val="nil"/>
              <w:bottom w:val="single" w:color="auto" w:sz="4" w:space="0"/>
              <w:right w:val="single" w:color="auto" w:sz="4" w:space="0"/>
            </w:tcBorders>
            <w:shd w:val="clear"/>
            <w:tcMar>
              <w:left w:w="108" w:type="dxa"/>
              <w:right w:w="108" w:type="dxa"/>
            </w:tcMar>
            <w:vAlign w:val="center"/>
          </w:tcPr>
          <w:p w14:paraId="321B4DD5">
            <w:pPr>
              <w:keepNext w:val="0"/>
              <w:keepLines w:val="0"/>
              <w:widowControl/>
              <w:suppressLineNumbers w:val="0"/>
              <w:jc w:val="both"/>
              <w:rPr>
                <w:rFonts w:hint="eastAsia" w:ascii="仿宋_GB2312" w:hAnsi="宋体" w:eastAsia="仿宋_GB2312" w:cs="仿宋_GB2312"/>
                <w:b w:val="0"/>
                <w:bCs w:val="0"/>
                <w:kern w:val="0"/>
                <w:sz w:val="24"/>
                <w:szCs w:val="24"/>
                <w:bdr w:val="none" w:color="auto" w:sz="0" w:space="0"/>
              </w:rPr>
            </w:pPr>
            <w:r>
              <w:rPr>
                <w:rFonts w:hint="eastAsia" w:ascii="仿宋_GB2312" w:hAnsi="宋体" w:eastAsia="仿宋_GB2312" w:cs="仿宋_GB2312"/>
                <w:b w:val="0"/>
                <w:bCs w:val="0"/>
                <w:kern w:val="0"/>
                <w:sz w:val="24"/>
                <w:szCs w:val="24"/>
                <w:bdr w:val="none" w:color="auto" w:sz="0" w:space="0"/>
              </w:rPr>
              <w:t>雷家凼城中村改造征收准备已完成90%，朝前社区中排粮油区域旧城改造正在进行征收申请。</w:t>
            </w:r>
          </w:p>
        </w:tc>
      </w:tr>
    </w:tbl>
    <w:p w14:paraId="5C425E0C">
      <w:pPr>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7EC1EF2">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142411A">
      <w:pPr>
        <w:pStyle w:val="2"/>
        <w:keepNext w:val="0"/>
        <w:keepLines w:val="0"/>
        <w:widowControl/>
        <w:suppressLineNumbers w:val="0"/>
        <w:jc w:val="center"/>
        <w:rPr>
          <w:rFonts w:hint="eastAsia" w:ascii="宋体" w:hAnsi="宋体" w:eastAsia="宋体" w:cs="宋体"/>
          <w:b/>
          <w:bCs/>
          <w:kern w:val="44"/>
          <w:sz w:val="48"/>
          <w:szCs w:val="48"/>
        </w:rPr>
      </w:pPr>
      <w:r>
        <w:rPr>
          <w:rFonts w:hint="eastAsia" w:ascii="宋体" w:hAnsi="宋体" w:eastAsia="宋体" w:cs="宋体"/>
          <w:b/>
          <w:bCs/>
          <w:kern w:val="44"/>
          <w:sz w:val="48"/>
          <w:szCs w:val="48"/>
        </w:rPr>
        <w:t>第五部分  名词解释</w:t>
      </w:r>
    </w:p>
    <w:p w14:paraId="447A2CCF">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(一)</w:t>
      </w:r>
      <w:r>
        <w:rPr>
          <w:rFonts w:hint="eastAsia" w:ascii="仿宋_GB2312" w:hAnsi="宋体" w:eastAsia="仿宋_GB2312" w:cs="仿宋_GB2312"/>
          <w:spacing w:val="6"/>
          <w:kern w:val="0"/>
          <w:sz w:val="32"/>
          <w:szCs w:val="32"/>
        </w:rPr>
        <w:t>一般公共预算</w:t>
      </w:r>
      <w:r>
        <w:rPr>
          <w:rFonts w:hint="eastAsia" w:ascii="仿宋_GB2312" w:hAnsi="宋体" w:eastAsia="仿宋_GB2312" w:cs="仿宋_GB2312"/>
          <w:kern w:val="0"/>
          <w:sz w:val="32"/>
          <w:szCs w:val="32"/>
        </w:rPr>
        <w:t>财政拨款收入：指市级财政</w:t>
      </w:r>
      <w:r>
        <w:rPr>
          <w:rFonts w:hint="eastAsia" w:ascii="仿宋_GB2312" w:hAnsi="宋体" w:eastAsia="仿宋_GB2312" w:cs="仿宋_GB2312"/>
          <w:spacing w:val="6"/>
          <w:kern w:val="0"/>
          <w:sz w:val="32"/>
          <w:szCs w:val="32"/>
        </w:rPr>
        <w:t>一般公共预算</w:t>
      </w:r>
      <w:r>
        <w:rPr>
          <w:rFonts w:hint="eastAsia" w:ascii="仿宋_GB2312" w:hAnsi="宋体" w:eastAsia="仿宋_GB2312" w:cs="仿宋_GB2312"/>
          <w:kern w:val="0"/>
          <w:sz w:val="32"/>
          <w:szCs w:val="32"/>
        </w:rPr>
        <w:t>当年拨付的资金。</w:t>
      </w:r>
    </w:p>
    <w:p w14:paraId="1CC37A1F">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(二)政府性基金</w:t>
      </w:r>
      <w:r>
        <w:rPr>
          <w:rFonts w:hint="eastAsia" w:ascii="仿宋_GB2312" w:hAnsi="宋体" w:eastAsia="仿宋_GB2312" w:cs="仿宋_GB2312"/>
          <w:spacing w:val="6"/>
          <w:kern w:val="0"/>
          <w:sz w:val="32"/>
          <w:szCs w:val="32"/>
        </w:rPr>
        <w:t>预算</w:t>
      </w:r>
      <w:r>
        <w:rPr>
          <w:rFonts w:hint="eastAsia" w:ascii="仿宋_GB2312" w:hAnsi="宋体" w:eastAsia="仿宋_GB2312" w:cs="仿宋_GB2312"/>
          <w:kern w:val="0"/>
          <w:sz w:val="32"/>
          <w:szCs w:val="32"/>
        </w:rPr>
        <w:t>财政拨款收入：指市级财政政府性基金</w:t>
      </w:r>
      <w:r>
        <w:rPr>
          <w:rFonts w:hint="eastAsia" w:ascii="仿宋_GB2312" w:hAnsi="宋体" w:eastAsia="仿宋_GB2312" w:cs="仿宋_GB2312"/>
          <w:spacing w:val="6"/>
          <w:kern w:val="0"/>
          <w:sz w:val="32"/>
          <w:szCs w:val="32"/>
        </w:rPr>
        <w:t>预算</w:t>
      </w:r>
      <w:r>
        <w:rPr>
          <w:rFonts w:hint="eastAsia" w:ascii="仿宋_GB2312" w:hAnsi="宋体" w:eastAsia="仿宋_GB2312" w:cs="仿宋_GB2312"/>
          <w:kern w:val="0"/>
          <w:sz w:val="32"/>
          <w:szCs w:val="32"/>
        </w:rPr>
        <w:t>当年拨付的资金。</w:t>
      </w:r>
    </w:p>
    <w:p w14:paraId="5AE27ACB">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(三)上级补助收入：指从事业单位主管部门和上级单位取得的非财政补助收入。</w:t>
      </w:r>
    </w:p>
    <w:p w14:paraId="109BCC15">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(四)事业收入：指事业单位开展专业业务活动及其辅助活动取得的收入。</w:t>
      </w:r>
    </w:p>
    <w:p w14:paraId="19D8D7F7">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(五)经营收入：指事业单位在专业业务活动及其辅助活动之外开展非独立核算经营活动取得的收入。</w:t>
      </w:r>
    </w:p>
    <w:p w14:paraId="53143E89">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(六)其他收入：指单位取得的除上述收入以外的各项收入。</w:t>
      </w:r>
    </w:p>
    <w:p w14:paraId="1EB41E2C">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(七)用事业基金弥补收支差额：</w:t>
      </w:r>
      <w:r>
        <w:rPr>
          <w:rFonts w:hint="eastAsia" w:ascii="仿宋_GB2312" w:hAnsi="宋体" w:eastAsia="仿宋_GB2312" w:cs="仿宋_GB2312"/>
          <w:color w:val="000000"/>
          <w:kern w:val="0"/>
          <w:sz w:val="32"/>
          <w:szCs w:val="32"/>
        </w:rPr>
        <w:t>指事业单位在当年的一般公共预算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45ED2EE">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(八)年初结转和结余：</w:t>
      </w:r>
      <w:r>
        <w:rPr>
          <w:rFonts w:hint="eastAsia" w:ascii="仿宋_GB2312" w:hAnsi="宋体" w:eastAsia="仿宋_GB2312" w:cs="仿宋_GB2312"/>
          <w:color w:val="000000"/>
          <w:kern w:val="0"/>
          <w:sz w:val="32"/>
          <w:szCs w:val="32"/>
        </w:rPr>
        <w:t>指以前年度安排、结转到本年仍按原规定用途继续使用的资金。</w:t>
      </w:r>
    </w:p>
    <w:p w14:paraId="016647E9">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(九)本部门使用的支出功能分类科目(到项级)</w:t>
      </w:r>
    </w:p>
    <w:p w14:paraId="1715742F">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1.一般公共服务(类)财政事务(款)行政运行(项)</w:t>
      </w:r>
    </w:p>
    <w:p w14:paraId="14E1094C">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2.</w:t>
      </w:r>
      <w:r>
        <w:rPr>
          <w:rFonts w:hint="eastAsia" w:ascii="宋体" w:hAnsi="宋体" w:eastAsia="宋体" w:cs="宋体"/>
          <w:kern w:val="0"/>
          <w:sz w:val="32"/>
          <w:szCs w:val="32"/>
        </w:rPr>
        <w:t>…</w:t>
      </w:r>
    </w:p>
    <w:p w14:paraId="79F047F0">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(参考《2019年政府收支分类科目》说明逐项解释。)</w:t>
      </w:r>
    </w:p>
    <w:p w14:paraId="3AD07776">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(十)结余分配：指事业单位按照会计制度规定缴纳的所得税以及从非财政拨款结余或经营结余中提取的职工福利基金、事业基金等。</w:t>
      </w:r>
    </w:p>
    <w:p w14:paraId="5CC72E92">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(十一)年末结转和结余：指单位本年度或以前年度预算安排、因客观条件发生变化未全部执行或未执行，结转到以后年度继续使用的资金，或项目已完成等产生的结余资金。</w:t>
      </w:r>
    </w:p>
    <w:p w14:paraId="717259E8">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(十二)基本支出：指为保障机构正常运转、完成日常工作任务而发生的人员支出和公用支出。</w:t>
      </w:r>
    </w:p>
    <w:p w14:paraId="302143A6">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color w:val="000000"/>
          <w:kern w:val="0"/>
          <w:sz w:val="32"/>
          <w:szCs w:val="32"/>
        </w:rPr>
        <w:t>(十三)项目支出：指在基本支出之外为完成特定行政任务或事业发展目标所发生的支出。</w:t>
      </w:r>
    </w:p>
    <w:p w14:paraId="412E4EC7">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(十四)上缴上级支出</w:t>
      </w:r>
      <w:r>
        <w:rPr>
          <w:rFonts w:hint="eastAsia" w:ascii="仿宋_GB2312" w:hAnsi="宋体" w:eastAsia="仿宋_GB2312" w:cs="仿宋_GB2312"/>
          <w:color w:val="000000"/>
          <w:kern w:val="0"/>
          <w:sz w:val="32"/>
          <w:szCs w:val="32"/>
        </w:rPr>
        <w:t>：指</w:t>
      </w:r>
      <w:r>
        <w:rPr>
          <w:rFonts w:hint="eastAsia" w:ascii="仿宋_GB2312" w:hAnsi="宋体" w:eastAsia="仿宋_GB2312" w:cs="仿宋_GB2312"/>
          <w:kern w:val="0"/>
          <w:sz w:val="32"/>
          <w:szCs w:val="32"/>
        </w:rPr>
        <w:t>事业单位按照财政部门和主管部门的规定上缴上级单位的支出。</w:t>
      </w:r>
      <w:r>
        <w:rPr>
          <w:rFonts w:hint="eastAsia" w:ascii="仿宋_GB2312" w:hAnsi="宋体" w:eastAsia="仿宋_GB2312" w:cs="仿宋_GB2312"/>
          <w:color w:val="000000"/>
          <w:kern w:val="0"/>
          <w:sz w:val="32"/>
          <w:szCs w:val="32"/>
        </w:rPr>
        <w:t xml:space="preserve"> </w:t>
      </w:r>
    </w:p>
    <w:p w14:paraId="60470503">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(十五)经营支出：指事业单位在专业活动及辅助活动之外开展非独立核算经营活动发生的支出。</w:t>
      </w:r>
    </w:p>
    <w:p w14:paraId="72953C03">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(十六)</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三公</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经费：纳入财政一般公共预算管理的</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三公</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01884680">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928C9F">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仿宋_GB2312"/>
          <w:kern w:val="0"/>
          <w:sz w:val="32"/>
          <w:szCs w:val="32"/>
        </w:rPr>
        <w:t>(十八)各单位其他专用名词解释。</w:t>
      </w:r>
    </w:p>
    <w:p w14:paraId="7841E541">
      <w:pPr>
        <w:keepNext w:val="0"/>
        <w:keepLines w:val="0"/>
        <w:widowControl/>
        <w:suppressLineNumbers w:val="0"/>
        <w:autoSpaceDE w:val="0"/>
        <w:autoSpaceDN/>
        <w:snapToGrid w:val="0"/>
        <w:spacing w:before="0" w:beforeAutospacing="1" w:after="0" w:afterAutospacing="1" w:line="360" w:lineRule="auto"/>
        <w:ind w:left="0" w:right="0" w:firstLine="641"/>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06B14735">
      <w:pPr>
        <w:keepNext w:val="0"/>
        <w:keepLines w:val="0"/>
        <w:widowControl/>
        <w:suppressLineNumbers w:val="0"/>
        <w:autoSpaceDE w:val="0"/>
        <w:autoSpaceDN/>
        <w:snapToGrid w:val="0"/>
        <w:spacing w:before="0" w:beforeAutospacing="1" w:after="0" w:afterAutospacing="1" w:line="360" w:lineRule="auto"/>
        <w:ind w:right="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9E3AF07">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653E033B">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2489C657">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15F209A5">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187B4DD5">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0E6D05A3">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224965BC">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6141110C">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p w14:paraId="05192F95">
      <w:pPr>
        <w:keepNext w:val="0"/>
        <w:keepLines w:val="0"/>
        <w:widowControl/>
        <w:suppressLineNumbers w:val="0"/>
        <w:spacing w:before="0" w:beforeAutospacing="1" w:after="0" w:afterAutospacing="1"/>
        <w:ind w:left="0" w:right="0"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xml:space="preserve"> </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FC1C6"/>
    <w:multiLevelType w:val="multilevel"/>
    <w:tmpl w:val="9DEFC1C6"/>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EAC6C526"/>
    <w:multiLevelType w:val="multilevel"/>
    <w:tmpl w:val="EAC6C526"/>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F739D979"/>
    <w:multiLevelType w:val="multilevel"/>
    <w:tmpl w:val="F739D979"/>
    <w:lvl w:ilvl="0" w:tentative="0">
      <w:start w:val="9"/>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FADFAE45"/>
    <w:multiLevelType w:val="multilevel"/>
    <w:tmpl w:val="FADFAE45"/>
    <w:lvl w:ilvl="0" w:tentative="0">
      <w:start w:val="2"/>
      <w:numFmt w:val="chineseCounting"/>
      <w:suff w:val="space"/>
      <w:lvlText w:val="第%1部分"/>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FF767118"/>
    <w:multiLevelType w:val="multilevel"/>
    <w:tmpl w:val="FF767118"/>
    <w:lvl w:ilvl="0" w:tentative="0">
      <w:start w:val="3"/>
      <w:numFmt w:val="chineseCounting"/>
      <w:suff w:val="space"/>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DF59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header"/>
    <w:basedOn w:val="1"/>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31"/>
    <w:basedOn w:val="13"/>
    <w:uiPriority w:val="0"/>
    <w:rPr>
      <w:rFonts w:hint="default" w:ascii="Times New Roman" w:hAnsi="Times New Roman" w:cs="Times New Roman"/>
    </w:rPr>
  </w:style>
  <w:style w:type="character" w:customStyle="1" w:styleId="15">
    <w:name w:val="10"/>
    <w:basedOn w:val="13"/>
    <w:uiPriority w:val="0"/>
    <w:rPr>
      <w:rFonts w:hint="default" w:ascii="Times New Roman" w:hAnsi="Times New Roman" w:cs="Times New Roman"/>
    </w:rPr>
  </w:style>
  <w:style w:type="paragraph" w:customStyle="1" w:styleId="16">
    <w:name w:val="普通(网站) Char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普通(网站) Char Char Char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8">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9">
    <w:name w:val="17"/>
    <w:basedOn w:val="13"/>
    <w:uiPriority w:val="0"/>
    <w:rPr>
      <w:rFonts w:hint="default" w:ascii="Times New Roman" w:hAnsi="Times New Roman" w:cs="Times New Roman"/>
    </w:rPr>
  </w:style>
  <w:style w:type="character" w:customStyle="1" w:styleId="20">
    <w:name w:val="29"/>
    <w:basedOn w:val="13"/>
    <w:uiPriority w:val="0"/>
    <w:rPr>
      <w:rFonts w:hint="default" w:ascii="Times New Roman" w:hAnsi="Times New Roman" w:cs="Times New Roman"/>
    </w:rPr>
  </w:style>
  <w:style w:type="character" w:customStyle="1" w:styleId="21">
    <w:name w:val="27"/>
    <w:basedOn w:val="13"/>
    <w:uiPriority w:val="0"/>
    <w:rPr>
      <w:rFonts w:hint="default" w:ascii="Times New Roman" w:hAnsi="Times New Roman" w:cs="Times New Roman"/>
    </w:rPr>
  </w:style>
  <w:style w:type="paragraph" w:customStyle="1" w:styleId="22">
    <w:name w:val="p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3">
    <w:name w:val="16"/>
    <w:basedOn w:val="13"/>
    <w:uiPriority w:val="0"/>
    <w:rPr>
      <w:rFonts w:hint="default" w:ascii="Times New Roman" w:hAnsi="Times New Roman" w:cs="Times New Roman"/>
    </w:rPr>
  </w:style>
  <w:style w:type="character" w:customStyle="1" w:styleId="24">
    <w:name w:val="18"/>
    <w:basedOn w:val="13"/>
    <w:uiPriority w:val="0"/>
    <w:rPr>
      <w:rFonts w:hint="default" w:ascii="Times New Roman" w:hAnsi="Times New Roman" w:cs="Times New Roman"/>
    </w:rPr>
  </w:style>
  <w:style w:type="character" w:customStyle="1" w:styleId="25">
    <w:name w:val="24"/>
    <w:basedOn w:val="13"/>
    <w:uiPriority w:val="0"/>
    <w:rPr>
      <w:rFonts w:hint="default" w:ascii="Times New Roman" w:hAnsi="Times New Roman" w:cs="Times New Roman"/>
    </w:rPr>
  </w:style>
  <w:style w:type="character" w:customStyle="1" w:styleId="26">
    <w:name w:val="21"/>
    <w:basedOn w:val="13"/>
    <w:uiPriority w:val="0"/>
    <w:rPr>
      <w:rFonts w:hint="default" w:ascii="Times New Roman" w:hAnsi="Times New Roman" w:cs="Times New Roman"/>
    </w:rPr>
  </w:style>
  <w:style w:type="character" w:customStyle="1" w:styleId="27">
    <w:name w:val="20"/>
    <w:basedOn w:val="13"/>
    <w:uiPriority w:val="0"/>
    <w:rPr>
      <w:rFonts w:hint="default" w:ascii="Times New Roman" w:hAnsi="Times New Roman" w:cs="Times New Roman"/>
    </w:rPr>
  </w:style>
  <w:style w:type="paragraph" w:customStyle="1" w:styleId="28">
    <w:name w:val="普通(网站) Char Char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9">
    <w:name w:val="HTML 预设格式 Char Char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0">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31">
    <w:name w:val="22"/>
    <w:basedOn w:val="13"/>
    <w:uiPriority w:val="0"/>
    <w:rPr>
      <w:rFonts w:hint="default" w:ascii="Times New Roman" w:hAnsi="Times New Roman" w:cs="Times New Roman"/>
    </w:rPr>
  </w:style>
  <w:style w:type="paragraph" w:customStyle="1" w:styleId="32">
    <w:name w:val="HTML 预设格式 Char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33">
    <w:name w:val="19"/>
    <w:basedOn w:val="13"/>
    <w:uiPriority w:val="0"/>
    <w:rPr>
      <w:rFonts w:hint="default" w:ascii="Times New Roman" w:hAnsi="Times New Roman" w:cs="Times New Roman"/>
    </w:rPr>
  </w:style>
  <w:style w:type="character" w:customStyle="1" w:styleId="34">
    <w:name w:val="15"/>
    <w:basedOn w:val="13"/>
    <w:uiPriority w:val="0"/>
    <w:rPr>
      <w:rFonts w:hint="default" w:ascii="Times New Roman" w:hAnsi="Times New Roman" w:cs="Times New Roman"/>
    </w:rPr>
  </w:style>
  <w:style w:type="character" w:customStyle="1" w:styleId="35">
    <w:name w:val="28"/>
    <w:basedOn w:val="13"/>
    <w:uiPriority w:val="0"/>
    <w:rPr>
      <w:rFonts w:hint="default" w:ascii="Times New Roman" w:hAnsi="Times New Roman" w:cs="Times New Roman"/>
    </w:rPr>
  </w:style>
  <w:style w:type="character" w:customStyle="1" w:styleId="36">
    <w:name w:val="30"/>
    <w:basedOn w:val="13"/>
    <w:uiPriority w:val="0"/>
    <w:rPr>
      <w:rFonts w:hint="default" w:ascii="Times New Roman" w:hAnsi="Times New Roman" w:cs="Times New Roman"/>
    </w:rPr>
  </w:style>
  <w:style w:type="character" w:customStyle="1" w:styleId="37">
    <w:name w:val="25"/>
    <w:basedOn w:val="13"/>
    <w:uiPriority w:val="0"/>
    <w:rPr>
      <w:rFonts w:hint="default" w:ascii="Times New Roman" w:hAnsi="Times New Roman" w:cs="Times New Roman"/>
    </w:rPr>
  </w:style>
  <w:style w:type="character" w:customStyle="1" w:styleId="38">
    <w:name w:val="26"/>
    <w:basedOn w:val="13"/>
    <w:uiPriority w:val="0"/>
    <w:rPr>
      <w:rFonts w:hint="default" w:ascii="Times New Roman" w:hAnsi="Times New Roman" w:cs="Times New Roman"/>
    </w:rPr>
  </w:style>
  <w:style w:type="character" w:customStyle="1" w:styleId="39">
    <w:name w:val="23"/>
    <w:basedOn w:val="1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tmp/wps-user/cb1abe86058242a2abe8ac5dae77b900/Users/ADMINI~1/AppData/Local/Temp/~tmp%7Be62229af-b5d7-4b91-8873-40bd7ef7e375%7D3016988.files/~tmp%7Be62229af-b5d7-4b91-8873-40bd7ef7e375%7D30169882487.png" TargetMode="External"/><Relationship Id="rId8" Type="http://schemas.openxmlformats.org/officeDocument/2006/relationships/image" Target="/tmp/wps-user/cb1abe86058242a2abe8ac5dae77b900/Users/ADMINI~1/AppData/Local/Temp/~tmp%7Be62229af-b5d7-4b91-8873-40bd7ef7e375%7D3016988.files/~tmp%7Be62229af-b5d7-4b91-8873-40bd7ef7e375%7D30169882231.png" TargetMode="External"/><Relationship Id="rId7" Type="http://schemas.openxmlformats.org/officeDocument/2006/relationships/image" Target="/tmp/wps-user/cb1abe86058242a2abe8ac5dae77b900/Users/ADMINI~1/AppData/Local/Temp/~tmp%7Be62229af-b5d7-4b91-8873-40bd7ef7e375%7D3016988.files/~tmp%7Be62229af-b5d7-4b91-8873-40bd7ef7e375%7D30169881975.png" TargetMode="External"/><Relationship Id="rId6" Type="http://schemas.openxmlformats.org/officeDocument/2006/relationships/image" Target="/tmp/wps-user/cb1abe86058242a2abe8ac5dae77b900/Users/ADMINI~1/AppData/Local/Temp/~tmp%7Be62229af-b5d7-4b91-8873-40bd7ef7e375%7D3016988.files/~tmp%7Be62229af-b5d7-4b91-8873-40bd7ef7e375%7D30169881720.png" TargetMode="External"/><Relationship Id="rId5" Type="http://schemas.openxmlformats.org/officeDocument/2006/relationships/image" Target="/tmp/wps-user/cb1abe86058242a2abe8ac5dae77b900/Users/ADMINI~1/AppData/Local/Temp/~tmp%7Be62229af-b5d7-4b91-8873-40bd7ef7e375%7D3016988.files/~tmp%7Be62229af-b5d7-4b91-8873-40bd7ef7e375%7D30169881463.png" TargetMode="Externa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tmp/wps-user/cb1abe86058242a2abe8ac5dae77b900/Users/ADMINI~1/AppData/Local/Temp/~tmp%7Be62229af-b5d7-4b91-8873-40bd7ef7e375%7D3016988.files/~tmp%7Be62229af-b5d7-4b91-8873-40bd7ef7e375%7D30169884788.png" TargetMode="External"/><Relationship Id="rId15" Type="http://schemas.openxmlformats.org/officeDocument/2006/relationships/image" Target="/tmp/wps-user/cb1abe86058242a2abe8ac5dae77b900/Users/ADMINI~1/AppData/Local/Temp/~tmp%7Be62229af-b5d7-4b91-8873-40bd7ef7e375%7D3016988.files/~tmp%7Be62229af-b5d7-4b91-8873-40bd7ef7e375%7D30169884395.png" TargetMode="External"/><Relationship Id="rId14" Type="http://schemas.openxmlformats.org/officeDocument/2006/relationships/image" Target="/tmp/wps-user/cb1abe86058242a2abe8ac5dae77b900/Users/ADMINI~1/AppData/Local/Temp/~tmp%7Be62229af-b5d7-4b91-8873-40bd7ef7e375%7D3016988.files/~tmp%7Be62229af-b5d7-4b91-8873-40bd7ef7e375%7D30169884028.png" TargetMode="External"/><Relationship Id="rId13" Type="http://schemas.openxmlformats.org/officeDocument/2006/relationships/image" Target="/tmp/wps-user/cb1abe86058242a2abe8ac5dae77b900/Users/ADMINI~1/AppData/Local/Temp/~tmp%7Be62229af-b5d7-4b91-8873-40bd7ef7e375%7D3016988.files/~tmp%7Be62229af-b5d7-4b91-8873-40bd7ef7e375%7D30169883683.png" TargetMode="External"/><Relationship Id="rId12" Type="http://schemas.openxmlformats.org/officeDocument/2006/relationships/image" Target="/tmp/wps-user/cb1abe86058242a2abe8ac5dae77b900/Users/ADMINI~1/AppData/Local/Temp/~tmp%7Be62229af-b5d7-4b91-8873-40bd7ef7e375%7D3016988.files/~tmp%7Be62229af-b5d7-4b91-8873-40bd7ef7e375%7D30169883259.png" TargetMode="External"/><Relationship Id="rId11" Type="http://schemas.openxmlformats.org/officeDocument/2006/relationships/image" Target="/tmp/wps-user/cb1abe86058242a2abe8ac5dae77b900/Users/ADMINI~1/AppData/Local/Temp/~tmp%7Be62229af-b5d7-4b91-8873-40bd7ef7e375%7D3016988.files/~tmp%7Be62229af-b5d7-4b91-8873-40bd7ef7e375%7D30169883001.png" TargetMode="External"/><Relationship Id="rId10" Type="http://schemas.openxmlformats.org/officeDocument/2006/relationships/image" Target="/tmp/wps-user/cb1abe86058242a2abe8ac5dae77b900/Users/ADMINI~1/AppData/Local/Temp/~tmp%7Be62229af-b5d7-4b91-8873-40bd7ef7e375%7D3016988.files/~tmp%7Be62229af-b5d7-4b91-8873-40bd7ef7e375%7D30169882743.png"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Lines>1</Lines>
  <Paragraphs>1</Paragraphs>
  <TotalTime>0</TotalTime>
  <ScaleCrop>false</ScaleCrop>
  <LinksUpToDate>false</LinksUpToDate>
  <Application>WPS Office_12.8.2.1118_F1E327BC-269C-435d-A152-05C5408002CA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2026-01-26T10:34:37Z</dcterms:created>
  <dc:creator>Administrator</dc:creator>
  <cp:lastModifiedBy>27-秀</cp:lastModifiedBy>
  <dcterms:modified xsi:type="dcterms:W3CDTF">2026-01-26T10:35:25Z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ED1104EAB22F8E5FEDD276691D468B70_43</vt:lpwstr>
  </property>
</Properties>
</file>